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34C1173F"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7C65CC">
        <w:rPr>
          <w:rFonts w:ascii="GHEA Grapalat" w:hAnsi="GHEA Grapalat"/>
          <w:b/>
          <w:bCs/>
          <w:lang w:val="hy-AM"/>
        </w:rPr>
        <w:t>հունվա</w:t>
      </w:r>
      <w:r w:rsidR="00AC0B37">
        <w:rPr>
          <w:rFonts w:ascii="GHEA Grapalat" w:hAnsi="GHEA Grapalat"/>
          <w:b/>
          <w:bCs/>
          <w:lang w:val="hy-AM"/>
        </w:rPr>
        <w:t>րի</w:t>
      </w:r>
      <w:r w:rsidR="003D2EB2">
        <w:rPr>
          <w:rFonts w:ascii="GHEA Grapalat" w:hAnsi="GHEA Grapalat"/>
          <w:b/>
          <w:bCs/>
          <w:lang w:val="hy-AM"/>
        </w:rPr>
        <w:t xml:space="preserve"> </w:t>
      </w:r>
      <w:r w:rsidR="007C65CC">
        <w:rPr>
          <w:rFonts w:ascii="GHEA Grapalat" w:hAnsi="GHEA Grapalat"/>
          <w:b/>
          <w:bCs/>
          <w:lang w:val="hy-AM"/>
        </w:rPr>
        <w:t>07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C65CC">
        <w:rPr>
          <w:rFonts w:ascii="GHEA Grapalat" w:hAnsi="GHEA Grapalat"/>
          <w:b/>
          <w:bCs/>
          <w:lang w:val="hy-AM"/>
        </w:rPr>
        <w:t>11</w:t>
      </w:r>
      <w:r w:rsidR="006E2C9E">
        <w:rPr>
          <w:rFonts w:ascii="GHEA Grapalat" w:hAnsi="GHEA Grapalat"/>
          <w:b/>
          <w:bCs/>
          <w:lang w:val="hy-AM"/>
        </w:rPr>
        <w:t>։</w:t>
      </w:r>
      <w:r w:rsidR="007C65CC">
        <w:rPr>
          <w:rFonts w:ascii="GHEA Grapalat" w:hAnsi="GHEA Grapalat"/>
          <w:b/>
          <w:bCs/>
          <w:lang w:val="hy-AM"/>
        </w:rPr>
        <w:t>0</w:t>
      </w:r>
      <w:r w:rsidR="003D2EB2">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2248A996" w:rsidR="0038161B" w:rsidRPr="000B4589" w:rsidRDefault="005C79A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829 522</w:t>
            </w:r>
          </w:p>
        </w:tc>
        <w:tc>
          <w:tcPr>
            <w:tcW w:w="1389" w:type="dxa"/>
            <w:vAlign w:val="center"/>
          </w:tcPr>
          <w:p w14:paraId="7FEDFF31" w14:textId="1F71B3C2" w:rsidR="0038161B" w:rsidRPr="000B4589" w:rsidRDefault="005C79A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331 809</w:t>
            </w:r>
          </w:p>
        </w:tc>
        <w:tc>
          <w:tcPr>
            <w:tcW w:w="1560" w:type="dxa"/>
            <w:vAlign w:val="center"/>
          </w:tcPr>
          <w:p w14:paraId="2DB1D681" w14:textId="2DAC9AE1"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7C65CC"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30B3"/>
    <w:rsid w:val="00556497"/>
    <w:rsid w:val="005A2A2E"/>
    <w:rsid w:val="005B02C9"/>
    <w:rsid w:val="005C79AD"/>
    <w:rsid w:val="005D7CE3"/>
    <w:rsid w:val="005E2D34"/>
    <w:rsid w:val="005E331D"/>
    <w:rsid w:val="005F375A"/>
    <w:rsid w:val="00601184"/>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C65CC"/>
    <w:rsid w:val="007F4021"/>
    <w:rsid w:val="008258E9"/>
    <w:rsid w:val="00855394"/>
    <w:rsid w:val="00873C05"/>
    <w:rsid w:val="008930B1"/>
    <w:rsid w:val="008B7840"/>
    <w:rsid w:val="008E7FF5"/>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82DA6"/>
    <w:rsid w:val="00F93718"/>
    <w:rsid w:val="00F95EC5"/>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1831</Words>
  <Characters>10443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https://mul2-spm.gov.am/tasks/521711/oneclick?token=ba57e6674fb34cb3eb358eadd141b69b</cp:keywords>
  <dc:description/>
  <cp:lastModifiedBy>User</cp:lastModifiedBy>
  <cp:revision>186</cp:revision>
  <dcterms:created xsi:type="dcterms:W3CDTF">2024-10-29T08:16:00Z</dcterms:created>
  <dcterms:modified xsi:type="dcterms:W3CDTF">2025-12-12T12:50:00Z</dcterms:modified>
</cp:coreProperties>
</file>