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CD34F48"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8F525D">
        <w:rPr>
          <w:rFonts w:ascii="GHEA Grapalat" w:hAnsi="GHEA Grapalat"/>
          <w:b/>
          <w:bCs/>
          <w:lang w:val="hy-AM"/>
        </w:rPr>
        <w:t>6</w:t>
      </w:r>
      <w:r w:rsidRPr="00EB665E">
        <w:rPr>
          <w:rFonts w:ascii="GHEA Grapalat" w:hAnsi="GHEA Grapalat"/>
          <w:b/>
          <w:bCs/>
          <w:lang w:val="hy-AM"/>
        </w:rPr>
        <w:t xml:space="preserve">թ. </w:t>
      </w:r>
      <w:r w:rsidR="00B60BC2">
        <w:rPr>
          <w:rFonts w:ascii="GHEA Grapalat" w:hAnsi="GHEA Grapalat"/>
          <w:b/>
          <w:bCs/>
          <w:lang w:val="hy-AM"/>
        </w:rPr>
        <w:t>մարտ</w:t>
      </w:r>
      <w:bookmarkStart w:id="0" w:name="_GoBack"/>
      <w:bookmarkEnd w:id="0"/>
      <w:r w:rsidR="00963811" w:rsidRPr="00EB665E">
        <w:rPr>
          <w:rFonts w:ascii="GHEA Grapalat" w:hAnsi="GHEA Grapalat"/>
          <w:b/>
          <w:bCs/>
          <w:lang w:val="hy-AM"/>
        </w:rPr>
        <w:t xml:space="preserve">ի </w:t>
      </w:r>
      <w:r w:rsidR="00CA5AA5">
        <w:rPr>
          <w:rFonts w:ascii="GHEA Grapalat" w:hAnsi="GHEA Grapalat"/>
          <w:b/>
          <w:bCs/>
          <w:lang w:val="hy-AM"/>
        </w:rPr>
        <w:t>9</w:t>
      </w:r>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B60BC2"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73AF7"/>
    <w:rsid w:val="00183631"/>
    <w:rsid w:val="00186B70"/>
    <w:rsid w:val="001A0E84"/>
    <w:rsid w:val="001C6860"/>
    <w:rsid w:val="001D7DC0"/>
    <w:rsid w:val="0020131A"/>
    <w:rsid w:val="00231D7A"/>
    <w:rsid w:val="00247205"/>
    <w:rsid w:val="002632EA"/>
    <w:rsid w:val="0026524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8F525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60BC2"/>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3BD9"/>
    <w:rsid w:val="00EB665E"/>
    <w:rsid w:val="00EF4640"/>
    <w:rsid w:val="00F0490D"/>
    <w:rsid w:val="00F16831"/>
    <w:rsid w:val="00F16B1D"/>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4</Pages>
  <Words>1524</Words>
  <Characters>8690</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36</cp:revision>
  <cp:lastPrinted>2025-05-30T05:40:00Z</cp:lastPrinted>
  <dcterms:created xsi:type="dcterms:W3CDTF">2025-05-23T07:27:00Z</dcterms:created>
  <dcterms:modified xsi:type="dcterms:W3CDTF">2026-02-13T06:42:00Z</dcterms:modified>
</cp:coreProperties>
</file>