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C16E56">
      <w:pPr>
        <w:pStyle w:val="a4"/>
        <w:jc w:val="center"/>
        <w:rPr>
          <w:rFonts w:ascii="GHEA Grapalat" w:hAnsi="GHEA Grapalat"/>
        </w:rPr>
      </w:pPr>
      <w:r w:rsidRPr="00440C90">
        <w:rPr>
          <w:rFonts w:ascii="GHEA Grapalat" w:hAnsi="GHEA Grapalat"/>
          <w:b/>
          <w:bCs/>
          <w:lang w:val="hy-AM"/>
        </w:rPr>
        <w:t>ՀՐԱՊԱՐԱԿԱՅԻՆ  ԾԱՆՈւՑՈւՄ</w:t>
      </w:r>
    </w:p>
    <w:p w14:paraId="5A4A911A" w14:textId="00B3DEE8" w:rsidR="002F76E3" w:rsidRPr="006B5917" w:rsidRDefault="00C16E56" w:rsidP="002F76E3">
      <w:pPr>
        <w:ind w:firstLine="720"/>
        <w:jc w:val="both"/>
        <w:rPr>
          <w:rFonts w:ascii="GHEA Grapalat" w:hAnsi="GHEA Grapalat"/>
          <w:lang w:val="hy-AM"/>
        </w:rPr>
      </w:pPr>
      <w:r>
        <w:rPr>
          <w:rFonts w:ascii="GHEA Grapalat" w:hAnsi="GHEA Grapalat"/>
          <w:b/>
          <w:bCs/>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914E57">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Pr>
          <w:rFonts w:ascii="GHEA Grapalat" w:hAnsi="GHEA Grapalat"/>
          <w:b/>
          <w:bCs/>
          <w:lang w:val="hy-AM"/>
        </w:rPr>
        <w:t>մարտի 9</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ժամը՝</w:t>
      </w:r>
      <w:r w:rsidR="005B3343">
        <w:rPr>
          <w:rFonts w:ascii="GHEA Grapalat" w:hAnsi="GHEA Grapalat"/>
          <w:b/>
          <w:bCs/>
          <w:lang w:val="hy-AM"/>
        </w:rPr>
        <w:t xml:space="preserve"> </w:t>
      </w:r>
      <w:r w:rsidR="009F334B">
        <w:rPr>
          <w:rFonts w:ascii="GHEA Grapalat" w:hAnsi="GHEA Grapalat"/>
          <w:b/>
          <w:bCs/>
          <w:lang w:val="hy-AM"/>
        </w:rPr>
        <w:t>9</w:t>
      </w:r>
      <w:r w:rsidR="002F76E3" w:rsidRPr="004C5B4B">
        <w:rPr>
          <w:rFonts w:ascii="GHEA Grapalat" w:hAnsi="GHEA Grapalat"/>
          <w:b/>
          <w:bCs/>
          <w:lang w:val="hy-AM"/>
        </w:rPr>
        <w:t>:</w:t>
      </w:r>
      <w:r>
        <w:rPr>
          <w:rFonts w:ascii="GHEA Grapalat" w:hAnsi="GHEA Grapalat"/>
          <w:b/>
          <w:bCs/>
          <w:lang w:val="hy-AM"/>
        </w:rPr>
        <w:t>10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305E721" w:rsidR="002F76E3" w:rsidRPr="006B5917" w:rsidRDefault="00C16E56" w:rsidP="002F76E3">
      <w:pPr>
        <w:ind w:firstLine="720"/>
        <w:jc w:val="both"/>
        <w:rPr>
          <w:rFonts w:ascii="GHEA Grapalat" w:hAnsi="GHEA Grapalat"/>
          <w:b/>
          <w:bCs/>
          <w:lang w:val="hy-AM"/>
        </w:rPr>
      </w:pPr>
      <w:bookmarkStart w:id="0" w:name="_Hlk181692298"/>
      <w:r w:rsidRPr="00C16E56">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0002374C"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5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2280"/>
        <w:gridCol w:w="1731"/>
        <w:gridCol w:w="1363"/>
        <w:gridCol w:w="1413"/>
        <w:gridCol w:w="1389"/>
        <w:gridCol w:w="1314"/>
        <w:gridCol w:w="1506"/>
        <w:gridCol w:w="1506"/>
        <w:gridCol w:w="1506"/>
      </w:tblGrid>
      <w:tr w:rsidR="00C16E56" w:rsidRPr="006B5917" w14:paraId="2BFDB83A" w14:textId="76A3CDD8" w:rsidTr="00F31A18">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bookmarkStart w:id="1" w:name="_Hlk178679479"/>
            <w:proofErr w:type="spellStart"/>
            <w:r w:rsidRPr="00C16E56">
              <w:rPr>
                <w:rFonts w:ascii="GHEA Grapalat" w:eastAsia="Times New Roman" w:hAnsi="GHEA Grapalat" w:cs="Calibri"/>
                <w:b/>
                <w:bCs/>
                <w:kern w:val="0"/>
                <w:sz w:val="18"/>
                <w:szCs w:val="18"/>
                <w14:ligatures w14:val="none"/>
              </w:rPr>
              <w:t>Լոտի</w:t>
            </w:r>
            <w:proofErr w:type="spellEnd"/>
          </w:p>
          <w:p w14:paraId="2A9AEC03" w14:textId="77777777"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r w:rsidRPr="00C16E56">
              <w:rPr>
                <w:rFonts w:ascii="GHEA Grapalat" w:eastAsia="Times New Roman" w:hAnsi="GHEA Grapalat" w:cs="Calibri"/>
                <w:b/>
                <w:bCs/>
                <w:kern w:val="0"/>
                <w:sz w:val="18"/>
                <w:szCs w:val="18"/>
                <w:lang w:val="hy-AM"/>
                <w14:ligatures w14:val="none"/>
              </w:rPr>
              <w:t>հ</w:t>
            </w:r>
            <w:proofErr w:type="spellStart"/>
            <w:r w:rsidRPr="00C16E56">
              <w:rPr>
                <w:rFonts w:ascii="GHEA Grapalat" w:eastAsia="Times New Roman" w:hAnsi="GHEA Grapalat" w:cs="Calibri"/>
                <w:b/>
                <w:bCs/>
                <w:kern w:val="0"/>
                <w:sz w:val="18"/>
                <w:szCs w:val="18"/>
                <w14:ligatures w14:val="none"/>
              </w:rPr>
              <w:t>երթական</w:t>
            </w:r>
            <w:proofErr w:type="spellEnd"/>
          </w:p>
          <w:p w14:paraId="77260FE7" w14:textId="145CFA3F"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proofErr w:type="spellStart"/>
            <w:r w:rsidRPr="00C16E56">
              <w:rPr>
                <w:rFonts w:ascii="GHEA Grapalat" w:eastAsia="Times New Roman" w:hAnsi="GHEA Grapalat" w:cs="Calibri"/>
                <w:b/>
                <w:bCs/>
                <w:kern w:val="0"/>
                <w:sz w:val="18"/>
                <w:szCs w:val="18"/>
                <w14:ligatures w14:val="none"/>
              </w:rPr>
              <w:t>համարը</w:t>
            </w:r>
            <w:proofErr w:type="spellEnd"/>
            <w:r w:rsidRPr="00C16E56">
              <w:rPr>
                <w:rFonts w:ascii="GHEA Grapalat" w:eastAsia="Times New Roman" w:hAnsi="GHEA Grapalat" w:cs="Calibri"/>
                <w:b/>
                <w:bCs/>
                <w:kern w:val="0"/>
                <w:sz w:val="18"/>
                <w:szCs w:val="18"/>
                <w14:ligatures w14:val="none"/>
              </w:rPr>
              <w:t xml:space="preserve"> </w:t>
            </w:r>
          </w:p>
        </w:tc>
        <w:tc>
          <w:tcPr>
            <w:tcW w:w="228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proofErr w:type="spellStart"/>
            <w:r w:rsidRPr="00C16E56">
              <w:rPr>
                <w:rFonts w:ascii="GHEA Grapalat" w:eastAsia="Times New Roman" w:hAnsi="GHEA Grapalat" w:cs="Calibri"/>
                <w:b/>
                <w:bCs/>
                <w:kern w:val="0"/>
                <w:sz w:val="18"/>
                <w:szCs w:val="18"/>
                <w14:ligatures w14:val="none"/>
              </w:rPr>
              <w:t>Գույքի</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լոտի</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անվանումը</w:t>
            </w:r>
            <w:proofErr w:type="spellEnd"/>
            <w:r w:rsidRPr="00C16E56">
              <w:rPr>
                <w:rFonts w:ascii="GHEA Grapalat" w:eastAsia="Times New Roman" w:hAnsi="GHEA Grapalat" w:cs="Calibri"/>
                <w:b/>
                <w:bCs/>
                <w:kern w:val="0"/>
                <w:sz w:val="18"/>
                <w:szCs w:val="18"/>
                <w14:ligatures w14:val="none"/>
              </w:rPr>
              <w:t xml:space="preserve"> / </w:t>
            </w:r>
            <w:proofErr w:type="spellStart"/>
            <w:r w:rsidRPr="00C16E56">
              <w:rPr>
                <w:rFonts w:ascii="GHEA Grapalat" w:eastAsia="Times New Roman" w:hAnsi="GHEA Grapalat" w:cs="Calibri"/>
                <w:b/>
                <w:bCs/>
                <w:kern w:val="0"/>
                <w:sz w:val="18"/>
                <w:szCs w:val="18"/>
                <w14:ligatures w14:val="none"/>
              </w:rPr>
              <w:t>նույն</w:t>
            </w:r>
            <w:proofErr w:type="spellEnd"/>
            <w:r w:rsidRPr="00C16E56">
              <w:rPr>
                <w:rFonts w:ascii="MS Mincho" w:eastAsia="MS Mincho" w:hAnsi="MS Mincho" w:cs="MS Mincho" w:hint="eastAsia"/>
                <w:b/>
                <w:bCs/>
                <w:kern w:val="0"/>
                <w:sz w:val="18"/>
                <w:szCs w:val="18"/>
                <w14:ligatures w14:val="none"/>
              </w:rPr>
              <w:t>․</w:t>
            </w:r>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Sylfaen"/>
                <w:b/>
                <w:bCs/>
                <w:kern w:val="0"/>
                <w:sz w:val="18"/>
                <w:szCs w:val="18"/>
                <w14:ligatures w14:val="none"/>
              </w:rPr>
              <w:t>համ</w:t>
            </w:r>
            <w:proofErr w:type="spellEnd"/>
            <w:r w:rsidRPr="00C16E56">
              <w:rPr>
                <w:rFonts w:ascii="GHEA Grapalat" w:eastAsia="Times New Roman" w:hAnsi="GHEA Grapalat" w:cs="Sylfaen"/>
                <w:b/>
                <w:bCs/>
                <w:kern w:val="0"/>
                <w:sz w:val="18"/>
                <w:szCs w:val="18"/>
                <w:lang w:val="hy-AM"/>
                <w14:ligatures w14:val="none"/>
              </w:rPr>
              <w:t>ար</w:t>
            </w:r>
          </w:p>
        </w:tc>
        <w:tc>
          <w:tcPr>
            <w:tcW w:w="1731" w:type="dxa"/>
            <w:tcBorders>
              <w:top w:val="single" w:sz="4" w:space="0" w:color="auto"/>
              <w:left w:val="single" w:sz="4" w:space="0" w:color="auto"/>
              <w:bottom w:val="single" w:sz="4" w:space="0" w:color="auto"/>
              <w:right w:val="single" w:sz="4" w:space="0" w:color="auto"/>
            </w:tcBorders>
            <w:vAlign w:val="center"/>
            <w:hideMark/>
          </w:tcPr>
          <w:p w14:paraId="04E51277" w14:textId="1E49D0CF"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r w:rsidRPr="00C16E56">
              <w:rPr>
                <w:rFonts w:ascii="GHEA Grapalat" w:eastAsia="Times New Roman" w:hAnsi="GHEA Grapalat" w:cs="Calibri"/>
                <w:b/>
                <w:bCs/>
                <w:kern w:val="0"/>
                <w:sz w:val="20"/>
                <w:szCs w:val="20"/>
                <w:lang w:val="hy-AM"/>
                <w14:ligatures w14:val="none"/>
              </w:rPr>
              <w:t>Թող</w:t>
            </w:r>
            <w:r w:rsidRPr="00C16E56">
              <w:rPr>
                <w:rFonts w:ascii="MS Mincho" w:eastAsia="MS Mincho" w:hAnsi="MS Mincho" w:cs="MS Mincho" w:hint="eastAsia"/>
                <w:b/>
                <w:bCs/>
                <w:kern w:val="0"/>
                <w:sz w:val="20"/>
                <w:szCs w:val="20"/>
                <w:lang w:val="hy-AM"/>
                <w14:ligatures w14:val="none"/>
              </w:rPr>
              <w:t>․</w:t>
            </w:r>
            <w:r w:rsidRPr="00C16E56">
              <w:rPr>
                <w:rFonts w:ascii="GHEA Grapalat" w:eastAsia="Times New Roman" w:hAnsi="GHEA Grapalat" w:cs="Calibri"/>
                <w:b/>
                <w:bCs/>
                <w:kern w:val="0"/>
                <w:sz w:val="20"/>
                <w:szCs w:val="20"/>
                <w:lang w:val="hy-AM"/>
                <w14:ligatures w14:val="none"/>
              </w:rPr>
              <w:t xml:space="preserve"> </w:t>
            </w:r>
            <w:r w:rsidRPr="00C16E56">
              <w:rPr>
                <w:rFonts w:ascii="GHEA Grapalat" w:eastAsia="Times New Roman" w:hAnsi="GHEA Grapalat" w:cs="GHEA Grapalat"/>
                <w:b/>
                <w:bCs/>
                <w:kern w:val="0"/>
                <w:sz w:val="20"/>
                <w:szCs w:val="20"/>
                <w:lang w:val="hy-AM"/>
                <w14:ligatures w14:val="none"/>
              </w:rPr>
              <w:t>տարեթիվը</w:t>
            </w:r>
            <w:r w:rsidRPr="00C16E56">
              <w:rPr>
                <w:rFonts w:ascii="GHEA Grapalat" w:eastAsia="Times New Roman" w:hAnsi="GHEA Grapalat" w:cs="GHEA Grapalat"/>
                <w:b/>
                <w:bCs/>
                <w:kern w:val="0"/>
                <w:sz w:val="20"/>
                <w:szCs w:val="20"/>
                <w:lang w:val="hy-AM"/>
                <w14:ligatures w14:val="none"/>
              </w:rPr>
              <w:t xml:space="preserve">/ </w:t>
            </w:r>
            <w:r w:rsidRPr="00C16E56">
              <w:rPr>
                <w:rFonts w:ascii="GHEA Grapalat" w:eastAsia="Times New Roman" w:hAnsi="GHEA Grapalat" w:cs="Calibri"/>
                <w:b/>
                <w:bCs/>
                <w:kern w:val="0"/>
                <w:sz w:val="20"/>
                <w:szCs w:val="20"/>
                <w:lang w:val="hy-AM"/>
                <w14:ligatures w14:val="none"/>
              </w:rPr>
              <w:t>թափքի տեսակը</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proofErr w:type="spellStart"/>
            <w:r w:rsidRPr="00C16E56">
              <w:rPr>
                <w:rFonts w:ascii="GHEA Grapalat" w:eastAsia="Times New Roman" w:hAnsi="GHEA Grapalat" w:cs="Calibri"/>
                <w:b/>
                <w:bCs/>
                <w:kern w:val="0"/>
                <w:sz w:val="18"/>
                <w:szCs w:val="18"/>
                <w14:ligatures w14:val="none"/>
              </w:rPr>
              <w:t>Գույքի</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գնահատված</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արժեքը</w:t>
            </w:r>
            <w:proofErr w:type="spellEnd"/>
            <w:r w:rsidRPr="00C16E56">
              <w:rPr>
                <w:rFonts w:ascii="GHEA Grapalat" w:eastAsia="Times New Roman" w:hAnsi="GHEA Grapalat" w:cs="Calibri"/>
                <w:b/>
                <w:bCs/>
                <w:kern w:val="0"/>
                <w:sz w:val="18"/>
                <w:szCs w:val="18"/>
                <w14:ligatures w14:val="none"/>
              </w:rPr>
              <w:t xml:space="preserve"> </w:t>
            </w:r>
          </w:p>
          <w:p w14:paraId="63021973" w14:textId="03D37A25"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r w:rsidRPr="00C16E56">
              <w:rPr>
                <w:rFonts w:ascii="GHEA Grapalat" w:eastAsia="Times New Roman" w:hAnsi="GHEA Grapalat" w:cs="Calibri"/>
                <w:b/>
                <w:bCs/>
                <w:kern w:val="0"/>
                <w:sz w:val="18"/>
                <w:szCs w:val="18"/>
                <w14:ligatures w14:val="none"/>
              </w:rPr>
              <w:t xml:space="preserve">(ՀՀ </w:t>
            </w:r>
            <w:proofErr w:type="spellStart"/>
            <w:r w:rsidRPr="00C16E56">
              <w:rPr>
                <w:rFonts w:ascii="GHEA Grapalat" w:eastAsia="Times New Roman" w:hAnsi="GHEA Grapalat" w:cs="Calibri"/>
                <w:b/>
                <w:bCs/>
                <w:kern w:val="0"/>
                <w:sz w:val="18"/>
                <w:szCs w:val="18"/>
                <w14:ligatures w14:val="none"/>
              </w:rPr>
              <w:t>դրամ</w:t>
            </w:r>
            <w:proofErr w:type="spellEnd"/>
            <w:r w:rsidRPr="00C16E56">
              <w:rPr>
                <w:rFonts w:ascii="GHEA Grapalat" w:eastAsia="Times New Roman" w:hAnsi="GHEA Grapalat" w:cs="Calibri"/>
                <w:b/>
                <w:bCs/>
                <w:kern w:val="0"/>
                <w:sz w:val="18"/>
                <w:szCs w:val="18"/>
                <w14:ligatures w14:val="none"/>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proofErr w:type="spellStart"/>
            <w:r w:rsidRPr="00C16E56">
              <w:rPr>
                <w:rFonts w:ascii="GHEA Grapalat" w:eastAsia="Times New Roman" w:hAnsi="GHEA Grapalat" w:cs="Calibri"/>
                <w:b/>
                <w:bCs/>
                <w:kern w:val="0"/>
                <w:sz w:val="18"/>
                <w:szCs w:val="18"/>
                <w14:ligatures w14:val="none"/>
              </w:rPr>
              <w:t>Լոտի</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մեկնարկային</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գինը</w:t>
            </w:r>
            <w:proofErr w:type="spellEnd"/>
          </w:p>
          <w:p w14:paraId="62972FC9" w14:textId="1FD9EA86"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r w:rsidRPr="00C16E56">
              <w:rPr>
                <w:rFonts w:ascii="GHEA Grapalat" w:eastAsia="Times New Roman" w:hAnsi="GHEA Grapalat" w:cs="Calibri"/>
                <w:b/>
                <w:bCs/>
                <w:kern w:val="0"/>
                <w:sz w:val="18"/>
                <w:szCs w:val="18"/>
                <w14:ligatures w14:val="none"/>
              </w:rPr>
              <w:t xml:space="preserve">(ՀՀ </w:t>
            </w:r>
            <w:proofErr w:type="spellStart"/>
            <w:r w:rsidRPr="00C16E56">
              <w:rPr>
                <w:rFonts w:ascii="GHEA Grapalat" w:eastAsia="Times New Roman" w:hAnsi="GHEA Grapalat" w:cs="Calibri"/>
                <w:b/>
                <w:bCs/>
                <w:kern w:val="0"/>
                <w:sz w:val="18"/>
                <w:szCs w:val="18"/>
                <w14:ligatures w14:val="none"/>
              </w:rPr>
              <w:t>դրամ</w:t>
            </w:r>
            <w:proofErr w:type="spellEnd"/>
            <w:r w:rsidRPr="00C16E56">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proofErr w:type="spellStart"/>
            <w:r w:rsidRPr="00C16E56">
              <w:rPr>
                <w:rFonts w:ascii="GHEA Grapalat" w:eastAsia="Times New Roman" w:hAnsi="GHEA Grapalat" w:cs="Calibri"/>
                <w:b/>
                <w:bCs/>
                <w:kern w:val="0"/>
                <w:sz w:val="18"/>
                <w:szCs w:val="18"/>
                <w14:ligatures w14:val="none"/>
              </w:rPr>
              <w:t>Նախավճարը</w:t>
            </w:r>
            <w:proofErr w:type="spellEnd"/>
          </w:p>
          <w:p w14:paraId="5D111825" w14:textId="729EAFF2"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r w:rsidRPr="00C16E56">
              <w:rPr>
                <w:rFonts w:ascii="GHEA Grapalat" w:eastAsia="Times New Roman" w:hAnsi="GHEA Grapalat" w:cs="Calibri"/>
                <w:b/>
                <w:bCs/>
                <w:kern w:val="0"/>
                <w:sz w:val="18"/>
                <w:szCs w:val="18"/>
                <w14:ligatures w14:val="none"/>
              </w:rPr>
              <w:t xml:space="preserve">(ՀՀ </w:t>
            </w:r>
            <w:proofErr w:type="spellStart"/>
            <w:r w:rsidRPr="00C16E56">
              <w:rPr>
                <w:rFonts w:ascii="GHEA Grapalat" w:eastAsia="Times New Roman" w:hAnsi="GHEA Grapalat" w:cs="Calibri"/>
                <w:b/>
                <w:bCs/>
                <w:kern w:val="0"/>
                <w:sz w:val="18"/>
                <w:szCs w:val="18"/>
                <w14:ligatures w14:val="none"/>
              </w:rPr>
              <w:t>դրամ</w:t>
            </w:r>
            <w:proofErr w:type="spellEnd"/>
            <w:r w:rsidRPr="00C16E56">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17D9B5F"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proofErr w:type="spellStart"/>
            <w:r w:rsidRPr="00C16E56">
              <w:rPr>
                <w:rFonts w:ascii="GHEA Grapalat" w:eastAsia="Times New Roman" w:hAnsi="GHEA Grapalat" w:cs="Calibri"/>
                <w:b/>
                <w:bCs/>
                <w:kern w:val="0"/>
                <w:sz w:val="18"/>
                <w:szCs w:val="18"/>
                <w14:ligatures w14:val="none"/>
              </w:rPr>
              <w:t>Նվազագույն</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գնային</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հավելման</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չափը</w:t>
            </w:r>
            <w:proofErr w:type="spellEnd"/>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proofErr w:type="spellStart"/>
            <w:r w:rsidRPr="00C16E56">
              <w:rPr>
                <w:rFonts w:ascii="GHEA Grapalat" w:eastAsia="Times New Roman" w:hAnsi="GHEA Grapalat" w:cs="Calibri"/>
                <w:b/>
                <w:bCs/>
                <w:kern w:val="0"/>
                <w:sz w:val="18"/>
                <w:szCs w:val="18"/>
                <w14:ligatures w14:val="none"/>
              </w:rPr>
              <w:t>Գույքի</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արժեքի</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որոշման</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համար</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նախատեսված</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գումարը</w:t>
            </w:r>
            <w:proofErr w:type="spellEnd"/>
            <w:r w:rsidRPr="00C16E56">
              <w:rPr>
                <w:rFonts w:ascii="GHEA Grapalat" w:eastAsia="Times New Roman" w:hAnsi="GHEA Grapalat" w:cs="Calibri"/>
                <w:b/>
                <w:bCs/>
                <w:kern w:val="0"/>
                <w:sz w:val="18"/>
                <w:szCs w:val="18"/>
                <w14:ligatures w14:val="none"/>
              </w:rPr>
              <w:t xml:space="preserve"> </w:t>
            </w:r>
          </w:p>
          <w:p w14:paraId="48381EAD" w14:textId="04B3E06A"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r w:rsidRPr="00C16E56">
              <w:rPr>
                <w:rFonts w:ascii="GHEA Grapalat" w:eastAsia="Times New Roman" w:hAnsi="GHEA Grapalat" w:cs="Calibri"/>
                <w:b/>
                <w:bCs/>
                <w:kern w:val="0"/>
                <w:sz w:val="18"/>
                <w:szCs w:val="18"/>
                <w14:ligatures w14:val="none"/>
              </w:rPr>
              <w:t xml:space="preserve">(ՀՀ </w:t>
            </w:r>
            <w:proofErr w:type="spellStart"/>
            <w:r w:rsidRPr="00C16E56">
              <w:rPr>
                <w:rFonts w:ascii="GHEA Grapalat" w:eastAsia="Times New Roman" w:hAnsi="GHEA Grapalat" w:cs="Calibri"/>
                <w:b/>
                <w:bCs/>
                <w:kern w:val="0"/>
                <w:sz w:val="18"/>
                <w:szCs w:val="18"/>
                <w14:ligatures w14:val="none"/>
              </w:rPr>
              <w:t>դրամ</w:t>
            </w:r>
            <w:proofErr w:type="spellEnd"/>
            <w:r w:rsidRPr="00C16E56">
              <w:rPr>
                <w:rFonts w:ascii="GHEA Grapalat" w:eastAsia="Times New Roman" w:hAnsi="GHEA Grapalat" w:cs="Calibri"/>
                <w:b/>
                <w:bCs/>
                <w:kern w:val="0"/>
                <w:sz w:val="18"/>
                <w:szCs w:val="18"/>
                <w14:ligatures w14:val="none"/>
              </w:rPr>
              <w:t>)</w:t>
            </w:r>
          </w:p>
        </w:tc>
        <w:tc>
          <w:tcPr>
            <w:tcW w:w="1506" w:type="dxa"/>
            <w:tcBorders>
              <w:top w:val="single" w:sz="4" w:space="0" w:color="auto"/>
              <w:left w:val="single" w:sz="4" w:space="0" w:color="auto"/>
              <w:bottom w:val="single" w:sz="4" w:space="0" w:color="auto"/>
              <w:right w:val="single" w:sz="4" w:space="0" w:color="auto"/>
            </w:tcBorders>
            <w:vAlign w:val="center"/>
          </w:tcPr>
          <w:p w14:paraId="357311E8" w14:textId="77777777"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proofErr w:type="spellStart"/>
            <w:r w:rsidRPr="00C16E56">
              <w:rPr>
                <w:rFonts w:ascii="GHEA Grapalat" w:eastAsia="Times New Roman" w:hAnsi="GHEA Grapalat" w:cs="Calibri"/>
                <w:b/>
                <w:bCs/>
                <w:kern w:val="0"/>
                <w:sz w:val="18"/>
                <w:szCs w:val="18"/>
                <w14:ligatures w14:val="none"/>
              </w:rPr>
              <w:t>Գույքի</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լոտի</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տեխնիկական</w:t>
            </w:r>
            <w:proofErr w:type="spellEnd"/>
          </w:p>
          <w:p w14:paraId="16586BDE" w14:textId="1A82C461"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proofErr w:type="spellStart"/>
            <w:r w:rsidRPr="00C16E56">
              <w:rPr>
                <w:rFonts w:ascii="GHEA Grapalat" w:eastAsia="Times New Roman" w:hAnsi="GHEA Grapalat" w:cs="Calibri"/>
                <w:b/>
                <w:bCs/>
                <w:kern w:val="0"/>
                <w:sz w:val="18"/>
                <w:szCs w:val="18"/>
                <w14:ligatures w14:val="none"/>
              </w:rPr>
              <w:t>վիճակը</w:t>
            </w:r>
            <w:proofErr w:type="spellEnd"/>
          </w:p>
        </w:tc>
        <w:tc>
          <w:tcPr>
            <w:tcW w:w="1506" w:type="dxa"/>
            <w:tcBorders>
              <w:top w:val="single" w:sz="4" w:space="0" w:color="auto"/>
              <w:left w:val="single" w:sz="4" w:space="0" w:color="auto"/>
              <w:bottom w:val="single" w:sz="4" w:space="0" w:color="auto"/>
              <w:right w:val="single" w:sz="4" w:space="0" w:color="auto"/>
            </w:tcBorders>
            <w:vAlign w:val="center"/>
          </w:tcPr>
          <w:p w14:paraId="4EDCEC13" w14:textId="77777777"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proofErr w:type="spellStart"/>
            <w:r w:rsidRPr="00C16E56">
              <w:rPr>
                <w:rFonts w:ascii="GHEA Grapalat" w:eastAsia="Times New Roman" w:hAnsi="GHEA Grapalat" w:cs="Calibri"/>
                <w:b/>
                <w:bCs/>
                <w:kern w:val="0"/>
                <w:sz w:val="18"/>
                <w:szCs w:val="18"/>
                <w14:ligatures w14:val="none"/>
              </w:rPr>
              <w:t>Գույքի</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լոտի</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գտնվելու</w:t>
            </w:r>
            <w:proofErr w:type="spellEnd"/>
          </w:p>
          <w:p w14:paraId="051CBC07" w14:textId="0C5966CD"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proofErr w:type="spellStart"/>
            <w:r w:rsidRPr="00C16E56">
              <w:rPr>
                <w:rFonts w:ascii="GHEA Grapalat" w:eastAsia="Times New Roman" w:hAnsi="GHEA Grapalat" w:cs="Calibri"/>
                <w:b/>
                <w:bCs/>
                <w:kern w:val="0"/>
                <w:sz w:val="18"/>
                <w:szCs w:val="18"/>
                <w14:ligatures w14:val="none"/>
              </w:rPr>
              <w:t>վայրը</w:t>
            </w:r>
            <w:proofErr w:type="spellEnd"/>
          </w:p>
        </w:tc>
      </w:tr>
      <w:tr w:rsidR="00C16E56" w:rsidRPr="006B5917" w14:paraId="2C43B4ED" w14:textId="3A660307" w:rsidTr="00F31A18">
        <w:trPr>
          <w:trHeight w:val="1920"/>
          <w:jc w:val="center"/>
        </w:trPr>
        <w:tc>
          <w:tcPr>
            <w:tcW w:w="1183" w:type="dxa"/>
            <w:noWrap/>
            <w:vAlign w:val="center"/>
            <w:hideMark/>
          </w:tcPr>
          <w:p w14:paraId="462AC639" w14:textId="377FA50F" w:rsidR="00C16E56" w:rsidRPr="00C16E56" w:rsidRDefault="00C16E56" w:rsidP="00C16E56">
            <w:pPr>
              <w:spacing w:after="0" w:line="240" w:lineRule="auto"/>
              <w:jc w:val="center"/>
              <w:rPr>
                <w:rFonts w:ascii="GHEA Grapalat" w:eastAsia="Times New Roman" w:hAnsi="GHEA Grapalat" w:cs="Calibri"/>
                <w:kern w:val="0"/>
                <w:sz w:val="20"/>
                <w:szCs w:val="20"/>
                <w14:ligatures w14:val="none"/>
              </w:rPr>
            </w:pPr>
            <w:r w:rsidRPr="00C16E56">
              <w:rPr>
                <w:rFonts w:ascii="GHEA Grapalat" w:eastAsia="Times New Roman" w:hAnsi="GHEA Grapalat" w:cs="Calibri"/>
                <w:kern w:val="0"/>
                <w:sz w:val="20"/>
                <w:szCs w:val="20"/>
                <w14:ligatures w14:val="none"/>
              </w:rPr>
              <w:t>14</w:t>
            </w:r>
          </w:p>
        </w:tc>
        <w:tc>
          <w:tcPr>
            <w:tcW w:w="2280" w:type="dxa"/>
            <w:vAlign w:val="center"/>
            <w:hideMark/>
          </w:tcPr>
          <w:p w14:paraId="4D233371" w14:textId="77777777" w:rsidR="00C16E56" w:rsidRPr="00C16E56" w:rsidRDefault="00C16E56" w:rsidP="00C16E56">
            <w:pPr>
              <w:jc w:val="center"/>
              <w:rPr>
                <w:rFonts w:ascii="GHEA Grapalat" w:hAnsi="GHEA Grapalat"/>
                <w:color w:val="000000"/>
                <w:sz w:val="20"/>
                <w:szCs w:val="20"/>
              </w:rPr>
            </w:pPr>
          </w:p>
          <w:p w14:paraId="72035A43" w14:textId="6AC19EF7" w:rsidR="00C16E56" w:rsidRPr="00C16E56" w:rsidRDefault="00C16E56" w:rsidP="00C16E56">
            <w:pPr>
              <w:jc w:val="center"/>
              <w:rPr>
                <w:rFonts w:ascii="GHEA Grapalat" w:eastAsia="Times New Roman" w:hAnsi="GHEA Grapalat" w:cs="Times New Roman"/>
                <w:color w:val="000000"/>
                <w:kern w:val="0"/>
                <w:sz w:val="20"/>
                <w:szCs w:val="20"/>
                <w14:ligatures w14:val="none"/>
              </w:rPr>
            </w:pPr>
            <w:r w:rsidRPr="00C16E56">
              <w:rPr>
                <w:rFonts w:ascii="GHEA Grapalat" w:hAnsi="GHEA Grapalat"/>
                <w:color w:val="000000"/>
                <w:sz w:val="20"/>
                <w:szCs w:val="20"/>
              </w:rPr>
              <w:t>Գազ-330800/</w:t>
            </w:r>
            <w:r>
              <w:rPr>
                <w:rFonts w:ascii="GHEA Grapalat" w:hAnsi="GHEA Grapalat"/>
                <w:color w:val="000000"/>
                <w:sz w:val="20"/>
                <w:szCs w:val="20"/>
              </w:rPr>
              <w:t xml:space="preserve"> </w:t>
            </w:r>
            <w:r w:rsidRPr="00C16E56">
              <w:rPr>
                <w:rFonts w:ascii="GHEA Grapalat" w:eastAsia="Times New Roman" w:hAnsi="GHEA Grapalat" w:cs="Times New Roman"/>
                <w:color w:val="000000"/>
                <w:kern w:val="0"/>
                <w:sz w:val="20"/>
                <w:szCs w:val="20"/>
                <w14:ligatures w14:val="none"/>
              </w:rPr>
              <w:t>XTH330800Y0806694</w:t>
            </w:r>
          </w:p>
        </w:tc>
        <w:tc>
          <w:tcPr>
            <w:tcW w:w="1731" w:type="dxa"/>
            <w:vAlign w:val="center"/>
            <w:hideMark/>
          </w:tcPr>
          <w:p w14:paraId="15D65D18" w14:textId="73014899" w:rsidR="00C16E56" w:rsidRPr="00C16E56" w:rsidRDefault="00C16E56" w:rsidP="00C16E56">
            <w:pPr>
              <w:spacing w:after="0" w:line="240" w:lineRule="auto"/>
              <w:jc w:val="center"/>
              <w:rPr>
                <w:rFonts w:ascii="GHEA Grapalat" w:eastAsia="Times New Roman" w:hAnsi="GHEA Grapalat" w:cs="Calibri"/>
                <w:kern w:val="0"/>
                <w:sz w:val="20"/>
                <w:szCs w:val="20"/>
                <w:lang w:val="hy-AM"/>
                <w14:ligatures w14:val="none"/>
              </w:rPr>
            </w:pPr>
            <w:r w:rsidRPr="00C16E56">
              <w:rPr>
                <w:rFonts w:ascii="GHEA Grapalat" w:eastAsia="Times New Roman" w:hAnsi="GHEA Grapalat" w:cs="Calibri"/>
                <w:kern w:val="0"/>
                <w:sz w:val="20"/>
                <w:szCs w:val="20"/>
                <w:lang w:val="hy-AM"/>
                <w14:ligatures w14:val="none"/>
              </w:rPr>
              <w:t>2000 թ</w:t>
            </w:r>
            <w:r w:rsidRPr="00C16E56">
              <w:rPr>
                <w:rFonts w:ascii="MS Mincho" w:eastAsia="MS Mincho" w:hAnsi="MS Mincho" w:cs="MS Mincho" w:hint="eastAsia"/>
                <w:kern w:val="0"/>
                <w:sz w:val="20"/>
                <w:szCs w:val="20"/>
                <w:lang w:val="hy-AM"/>
                <w14:ligatures w14:val="none"/>
              </w:rPr>
              <w:t>․</w:t>
            </w:r>
            <w:r w:rsidRPr="00C16E56">
              <w:rPr>
                <w:rFonts w:ascii="MS Mincho" w:eastAsia="MS Mincho" w:hAnsi="MS Mincho" w:cs="MS Mincho"/>
                <w:kern w:val="0"/>
                <w:sz w:val="20"/>
                <w:szCs w:val="20"/>
                <w:lang w:val="hy-AM"/>
                <w14:ligatures w14:val="none"/>
              </w:rPr>
              <w:t>/</w:t>
            </w:r>
            <w:r w:rsidRPr="00C16E56">
              <w:rPr>
                <w:rFonts w:ascii="GHEA Grapalat" w:eastAsia="Times New Roman" w:hAnsi="GHEA Grapalat" w:cs="Calibri"/>
                <w:kern w:val="0"/>
                <w:sz w:val="20"/>
                <w:szCs w:val="20"/>
                <w:lang w:val="hy-AM"/>
                <w14:ligatures w14:val="none"/>
              </w:rPr>
              <w:t xml:space="preserve"> կողավոր</w:t>
            </w:r>
          </w:p>
        </w:tc>
        <w:tc>
          <w:tcPr>
            <w:tcW w:w="1363" w:type="dxa"/>
            <w:tcBorders>
              <w:top w:val="single" w:sz="4" w:space="0" w:color="auto"/>
              <w:left w:val="single" w:sz="4" w:space="0" w:color="auto"/>
              <w:right w:val="single" w:sz="4" w:space="0" w:color="auto"/>
            </w:tcBorders>
            <w:vAlign w:val="center"/>
          </w:tcPr>
          <w:p w14:paraId="2276D1C3" w14:textId="77777777" w:rsidR="00C16E56" w:rsidRPr="00C16E56" w:rsidRDefault="00C16E56" w:rsidP="00C16E56">
            <w:pPr>
              <w:pStyle w:val="a3"/>
              <w:spacing w:before="0" w:beforeAutospacing="0" w:after="0" w:afterAutospacing="0"/>
              <w:ind w:left="-108" w:right="-105"/>
              <w:jc w:val="center"/>
              <w:rPr>
                <w:rFonts w:ascii="GHEA Grapalat" w:hAnsi="GHEA Grapalat"/>
                <w:color w:val="000000"/>
                <w:sz w:val="20"/>
                <w:szCs w:val="20"/>
                <w:lang w:val="hy-AM"/>
              </w:rPr>
            </w:pPr>
          </w:p>
          <w:p w14:paraId="4F608820" w14:textId="0C0E7A4F" w:rsidR="00C16E56" w:rsidRPr="00C16E56" w:rsidRDefault="00C16E56" w:rsidP="00C16E56">
            <w:pPr>
              <w:pStyle w:val="a3"/>
              <w:spacing w:before="0" w:beforeAutospacing="0" w:after="0" w:afterAutospacing="0"/>
              <w:ind w:left="-108" w:right="-105"/>
              <w:jc w:val="center"/>
              <w:rPr>
                <w:sz w:val="20"/>
                <w:szCs w:val="20"/>
              </w:rPr>
            </w:pPr>
            <w:r w:rsidRPr="00C16E56">
              <w:rPr>
                <w:rFonts w:ascii="GHEA Grapalat" w:hAnsi="GHEA Grapalat"/>
                <w:color w:val="000000"/>
                <w:sz w:val="20"/>
                <w:szCs w:val="20"/>
              </w:rPr>
              <w:t>1 337</w:t>
            </w:r>
            <w:r w:rsidRPr="00C16E56">
              <w:rPr>
                <w:rFonts w:ascii="Calibri" w:hAnsi="Calibri" w:cs="Calibri"/>
                <w:color w:val="000000"/>
                <w:sz w:val="20"/>
                <w:szCs w:val="20"/>
              </w:rPr>
              <w:t> </w:t>
            </w:r>
            <w:r w:rsidRPr="00C16E56">
              <w:rPr>
                <w:rFonts w:ascii="GHEA Grapalat" w:hAnsi="GHEA Grapalat"/>
                <w:color w:val="000000"/>
                <w:sz w:val="20"/>
                <w:szCs w:val="20"/>
              </w:rPr>
              <w:t>000</w:t>
            </w:r>
          </w:p>
          <w:p w14:paraId="5BBE17E4" w14:textId="3F64447E" w:rsidR="00C16E56" w:rsidRPr="00C16E56" w:rsidRDefault="00C16E56" w:rsidP="00C16E56">
            <w:pPr>
              <w:spacing w:after="0" w:line="240" w:lineRule="auto"/>
              <w:jc w:val="center"/>
              <w:rPr>
                <w:rFonts w:ascii="GHEA Grapalat" w:eastAsia="Times New Roman" w:hAnsi="GHEA Grapalat" w:cs="Calibri"/>
                <w:kern w:val="0"/>
                <w:sz w:val="20"/>
                <w:szCs w:val="20"/>
                <w:lang w:val="hy-AM"/>
                <w14:ligatures w14:val="none"/>
              </w:rPr>
            </w:pPr>
          </w:p>
        </w:tc>
        <w:tc>
          <w:tcPr>
            <w:tcW w:w="1413" w:type="dxa"/>
            <w:tcBorders>
              <w:top w:val="single" w:sz="4" w:space="0" w:color="auto"/>
              <w:left w:val="single" w:sz="4" w:space="0" w:color="auto"/>
              <w:right w:val="single" w:sz="4" w:space="0" w:color="auto"/>
            </w:tcBorders>
            <w:vAlign w:val="center"/>
          </w:tcPr>
          <w:p w14:paraId="26A76C2F" w14:textId="13EC8283" w:rsidR="00C16E56" w:rsidRPr="00C16E56" w:rsidRDefault="00C16E56" w:rsidP="00C16E56">
            <w:pPr>
              <w:spacing w:after="0" w:line="240" w:lineRule="auto"/>
              <w:jc w:val="center"/>
              <w:rPr>
                <w:rFonts w:ascii="GHEA Grapalat" w:eastAsia="Times New Roman" w:hAnsi="GHEA Grapalat" w:cs="Calibri"/>
                <w:kern w:val="0"/>
                <w:sz w:val="20"/>
                <w:szCs w:val="20"/>
                <w:lang w:val="hy-AM"/>
                <w14:ligatures w14:val="none"/>
              </w:rPr>
            </w:pPr>
            <w:r w:rsidRPr="00C16E56">
              <w:rPr>
                <w:rFonts w:ascii="GHEA Grapalat" w:eastAsia="Times New Roman" w:hAnsi="GHEA Grapalat" w:cs="Times New Roman"/>
                <w:color w:val="000000"/>
                <w:kern w:val="0"/>
                <w:sz w:val="20"/>
                <w:szCs w:val="20"/>
                <w14:ligatures w14:val="none"/>
              </w:rPr>
              <w:t>965</w:t>
            </w:r>
            <w:r w:rsidRPr="00C16E56">
              <w:rPr>
                <w:rFonts w:ascii="GHEA Grapalat" w:eastAsia="Times New Roman" w:hAnsi="GHEA Grapalat" w:cs="Times New Roman"/>
                <w:color w:val="000000"/>
                <w:kern w:val="0"/>
                <w:sz w:val="20"/>
                <w:szCs w:val="20"/>
                <w14:ligatures w14:val="none"/>
              </w:rPr>
              <w:t xml:space="preserve"> </w:t>
            </w:r>
            <w:r w:rsidRPr="00C16E56">
              <w:rPr>
                <w:rFonts w:ascii="GHEA Grapalat" w:eastAsia="Times New Roman" w:hAnsi="GHEA Grapalat" w:cs="Times New Roman"/>
                <w:color w:val="000000"/>
                <w:kern w:val="0"/>
                <w:sz w:val="20"/>
                <w:szCs w:val="20"/>
                <w14:ligatures w14:val="none"/>
              </w:rPr>
              <w:t>98</w:t>
            </w:r>
            <w:r w:rsidRPr="00C16E56">
              <w:rPr>
                <w:rFonts w:ascii="GHEA Grapalat" w:eastAsia="Times New Roman" w:hAnsi="GHEA Grapalat" w:cs="Times New Roman"/>
                <w:color w:val="000000"/>
                <w:kern w:val="0"/>
                <w:sz w:val="20"/>
                <w:szCs w:val="20"/>
                <w14:ligatures w14:val="none"/>
              </w:rPr>
              <w:t>3</w:t>
            </w:r>
          </w:p>
        </w:tc>
        <w:tc>
          <w:tcPr>
            <w:tcW w:w="1389" w:type="dxa"/>
            <w:vAlign w:val="center"/>
          </w:tcPr>
          <w:p w14:paraId="7FEDFF31" w14:textId="1A9870A5" w:rsidR="00C16E56" w:rsidRPr="00C16E56" w:rsidRDefault="00C16E56" w:rsidP="00C16E56">
            <w:pPr>
              <w:spacing w:after="0" w:line="240" w:lineRule="auto"/>
              <w:jc w:val="center"/>
              <w:rPr>
                <w:rFonts w:ascii="GHEA Grapalat" w:eastAsia="Times New Roman" w:hAnsi="GHEA Grapalat" w:cs="Calibri"/>
                <w:kern w:val="0"/>
                <w:sz w:val="20"/>
                <w:szCs w:val="20"/>
                <w:lang w:val="hy-AM"/>
                <w14:ligatures w14:val="none"/>
              </w:rPr>
            </w:pPr>
            <w:r w:rsidRPr="00C16E56">
              <w:rPr>
                <w:rFonts w:ascii="GHEA Grapalat" w:eastAsia="Times New Roman" w:hAnsi="GHEA Grapalat" w:cs="Calibri"/>
                <w:kern w:val="0"/>
                <w:sz w:val="20"/>
                <w:szCs w:val="20"/>
                <w14:ligatures w14:val="none"/>
              </w:rPr>
              <w:t>386</w:t>
            </w:r>
            <w:r w:rsidRPr="00C16E56">
              <w:rPr>
                <w:rFonts w:ascii="GHEA Grapalat" w:eastAsia="Times New Roman" w:hAnsi="GHEA Grapalat" w:cs="Calibri"/>
                <w:kern w:val="0"/>
                <w:sz w:val="20"/>
                <w:szCs w:val="20"/>
                <w14:ligatures w14:val="none"/>
              </w:rPr>
              <w:t xml:space="preserve"> </w:t>
            </w:r>
            <w:r w:rsidRPr="00C16E56">
              <w:rPr>
                <w:rFonts w:ascii="GHEA Grapalat" w:eastAsia="Times New Roman" w:hAnsi="GHEA Grapalat" w:cs="Calibri"/>
                <w:kern w:val="0"/>
                <w:sz w:val="20"/>
                <w:szCs w:val="20"/>
                <w14:ligatures w14:val="none"/>
              </w:rPr>
              <w:t>393</w:t>
            </w:r>
          </w:p>
        </w:tc>
        <w:tc>
          <w:tcPr>
            <w:tcW w:w="1314" w:type="dxa"/>
            <w:vAlign w:val="center"/>
          </w:tcPr>
          <w:p w14:paraId="2DB1D681" w14:textId="029F5F69" w:rsidR="00C16E56" w:rsidRPr="00C16E56" w:rsidRDefault="00C16E56" w:rsidP="00C16E56">
            <w:pPr>
              <w:spacing w:after="0" w:line="240" w:lineRule="auto"/>
              <w:jc w:val="center"/>
              <w:rPr>
                <w:rFonts w:ascii="GHEA Grapalat" w:eastAsia="Times New Roman" w:hAnsi="GHEA Grapalat" w:cs="Calibri"/>
                <w:kern w:val="0"/>
                <w:sz w:val="20"/>
                <w:szCs w:val="20"/>
                <w:lang w:val="hy-AM"/>
                <w14:ligatures w14:val="none"/>
              </w:rPr>
            </w:pPr>
            <w:r w:rsidRPr="00C16E56">
              <w:rPr>
                <w:rFonts w:ascii="GHEA Grapalat" w:eastAsia="Times New Roman" w:hAnsi="GHEA Grapalat" w:cs="Calibri"/>
                <w:kern w:val="0"/>
                <w:sz w:val="20"/>
                <w:szCs w:val="20"/>
                <w:lang w:val="hy-AM"/>
                <w14:ligatures w14:val="none"/>
              </w:rPr>
              <w:t>10 000</w:t>
            </w:r>
          </w:p>
        </w:tc>
        <w:tc>
          <w:tcPr>
            <w:tcW w:w="1506" w:type="dxa"/>
            <w:vAlign w:val="center"/>
            <w:hideMark/>
          </w:tcPr>
          <w:p w14:paraId="5EE903CD" w14:textId="066D6469" w:rsidR="00C16E56" w:rsidRPr="00C16E56" w:rsidRDefault="00C16E56" w:rsidP="00C16E56">
            <w:pPr>
              <w:spacing w:after="0" w:line="240" w:lineRule="auto"/>
              <w:jc w:val="center"/>
              <w:rPr>
                <w:rFonts w:ascii="GHEA Grapalat" w:eastAsia="Times New Roman" w:hAnsi="GHEA Grapalat" w:cs="Calibri"/>
                <w:kern w:val="0"/>
                <w:sz w:val="20"/>
                <w:szCs w:val="20"/>
                <w14:ligatures w14:val="none"/>
              </w:rPr>
            </w:pPr>
            <w:r w:rsidRPr="00C16E56">
              <w:rPr>
                <w:rFonts w:ascii="GHEA Grapalat" w:eastAsia="Times New Roman" w:hAnsi="GHEA Grapalat" w:cs="Calibri"/>
                <w:kern w:val="0"/>
                <w:sz w:val="20"/>
                <w:szCs w:val="20"/>
                <w14:ligatures w14:val="none"/>
              </w:rPr>
              <w:t>18 000</w:t>
            </w:r>
          </w:p>
        </w:tc>
        <w:tc>
          <w:tcPr>
            <w:tcW w:w="1506" w:type="dxa"/>
            <w:vAlign w:val="center"/>
          </w:tcPr>
          <w:p w14:paraId="25B48193" w14:textId="77777777" w:rsidR="00C16E56" w:rsidRPr="00C16E56" w:rsidRDefault="00C16E56" w:rsidP="00C16E56">
            <w:pPr>
              <w:pStyle w:val="a3"/>
              <w:spacing w:before="0" w:beforeAutospacing="0" w:after="0" w:afterAutospacing="0"/>
              <w:ind w:left="-108" w:right="-105"/>
              <w:jc w:val="center"/>
              <w:rPr>
                <w:rFonts w:ascii="GHEA Grapalat" w:hAnsi="GHEA Grapalat"/>
                <w:sz w:val="20"/>
                <w:szCs w:val="20"/>
              </w:rPr>
            </w:pPr>
            <w:proofErr w:type="spellStart"/>
            <w:r w:rsidRPr="00C16E56">
              <w:rPr>
                <w:rFonts w:ascii="GHEA Grapalat" w:hAnsi="GHEA Grapalat"/>
                <w:color w:val="000000"/>
                <w:sz w:val="20"/>
                <w:szCs w:val="20"/>
              </w:rPr>
              <w:t>Անսարք</w:t>
            </w:r>
            <w:proofErr w:type="spellEnd"/>
          </w:p>
          <w:p w14:paraId="78E52B6B" w14:textId="77777777" w:rsidR="00C16E56" w:rsidRPr="00C16E56" w:rsidRDefault="00C16E56" w:rsidP="00C16E56">
            <w:pPr>
              <w:spacing w:after="0" w:line="240" w:lineRule="auto"/>
              <w:jc w:val="center"/>
              <w:rPr>
                <w:rFonts w:ascii="GHEA Grapalat" w:eastAsia="Times New Roman" w:hAnsi="GHEA Grapalat" w:cs="Calibri"/>
                <w:kern w:val="0"/>
                <w:sz w:val="20"/>
                <w:szCs w:val="20"/>
                <w14:ligatures w14:val="none"/>
              </w:rPr>
            </w:pPr>
          </w:p>
        </w:tc>
        <w:tc>
          <w:tcPr>
            <w:tcW w:w="1506" w:type="dxa"/>
            <w:vAlign w:val="center"/>
          </w:tcPr>
          <w:p w14:paraId="768EFD01" w14:textId="5CC98E67" w:rsidR="00C16E56" w:rsidRPr="00C16E56" w:rsidRDefault="00C16E56" w:rsidP="00C16E56">
            <w:pPr>
              <w:pStyle w:val="a3"/>
              <w:spacing w:before="0" w:beforeAutospacing="0" w:after="0" w:afterAutospacing="0"/>
              <w:ind w:left="-108" w:right="-105"/>
              <w:jc w:val="center"/>
              <w:rPr>
                <w:rFonts w:ascii="GHEA Grapalat" w:hAnsi="GHEA Grapalat"/>
                <w:color w:val="000000"/>
                <w:sz w:val="20"/>
                <w:szCs w:val="20"/>
              </w:rPr>
            </w:pPr>
            <w:r w:rsidRPr="00C16E56">
              <w:rPr>
                <w:rFonts w:ascii="GHEA Grapalat" w:eastAsia="Microsoft JhengHei" w:hAnsi="GHEA Grapalat" w:cs="Microsoft JhengHei"/>
                <w:sz w:val="20"/>
                <w:szCs w:val="20"/>
                <w:lang w:val="hy-AM"/>
              </w:rPr>
              <w:t>ք</w:t>
            </w:r>
            <w:r w:rsidRPr="00C16E56">
              <w:rPr>
                <w:rFonts w:ascii="MS Mincho" w:eastAsia="MS Mincho" w:hAnsi="MS Mincho" w:cs="MS Mincho" w:hint="eastAsia"/>
                <w:sz w:val="20"/>
                <w:szCs w:val="20"/>
                <w:lang w:val="hy-AM"/>
              </w:rPr>
              <w:t>․</w:t>
            </w:r>
            <w:r w:rsidRPr="00C16E56">
              <w:rPr>
                <w:rFonts w:ascii="GHEA Grapalat" w:eastAsia="MS Mincho" w:hAnsi="GHEA Grapalat" w:cs="MS Mincho"/>
                <w:sz w:val="20"/>
                <w:szCs w:val="20"/>
                <w:lang w:val="hy-AM"/>
              </w:rPr>
              <w:t>Եղվարդ</w:t>
            </w:r>
          </w:p>
        </w:tc>
      </w:tr>
      <w:bookmarkEnd w:id="1"/>
    </w:tbl>
    <w:p w14:paraId="737D398C" w14:textId="77777777" w:rsidR="00C16E56" w:rsidRDefault="00C16E56" w:rsidP="00C16E56">
      <w:pPr>
        <w:spacing w:line="240" w:lineRule="auto"/>
        <w:jc w:val="both"/>
        <w:rPr>
          <w:rFonts w:ascii="GHEA Grapalat" w:hAnsi="GHEA Grapalat"/>
          <w:sz w:val="20"/>
          <w:szCs w:val="20"/>
          <w:lang w:val="hy-AM"/>
        </w:rPr>
      </w:pPr>
    </w:p>
    <w:p w14:paraId="4B65A914" w14:textId="4721B72E" w:rsidR="00C16E56" w:rsidRPr="00216A4B" w:rsidRDefault="00C16E56" w:rsidP="00C16E56">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1614418E" w14:textId="77777777" w:rsidR="00C16E56" w:rsidRPr="00216A4B" w:rsidRDefault="00C16E56" w:rsidP="00C16E56">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2239D89" w14:textId="77777777" w:rsidR="00C16E56" w:rsidRPr="00216A4B" w:rsidRDefault="00C16E56" w:rsidP="00C16E56">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4B5F460B" w14:textId="77777777" w:rsidR="00C16E56" w:rsidRPr="00216A4B" w:rsidRDefault="00C16E56" w:rsidP="00C16E56">
      <w:pPr>
        <w:spacing w:line="240" w:lineRule="auto"/>
        <w:jc w:val="both"/>
        <w:rPr>
          <w:rFonts w:ascii="GHEA Grapalat" w:hAnsi="GHEA Grapalat"/>
          <w:b/>
          <w:bCs/>
          <w:sz w:val="20"/>
          <w:szCs w:val="20"/>
          <w:lang w:val="hy-AM"/>
        </w:rPr>
      </w:pPr>
    </w:p>
    <w:p w14:paraId="210EF375"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59E92B7" w14:textId="77777777" w:rsidR="00C16E56" w:rsidRPr="00216A4B" w:rsidRDefault="00C16E56" w:rsidP="00C16E56">
      <w:pPr>
        <w:numPr>
          <w:ilvl w:val="0"/>
          <w:numId w:val="2"/>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F6F4DB3" w14:textId="77777777" w:rsidR="00C16E56" w:rsidRPr="00216A4B" w:rsidRDefault="00C16E56" w:rsidP="00C16E56">
      <w:pPr>
        <w:numPr>
          <w:ilvl w:val="0"/>
          <w:numId w:val="4"/>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C048FFD" w14:textId="77777777" w:rsidR="00C16E56" w:rsidRPr="00216A4B" w:rsidRDefault="00C16E56" w:rsidP="00C16E56">
      <w:pPr>
        <w:numPr>
          <w:ilvl w:val="0"/>
          <w:numId w:val="4"/>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614AD15"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2240E61B"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C86DBB"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A266331"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B83ADA"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B66DD2" w14:textId="77777777" w:rsidR="00C16E56" w:rsidRPr="00216A4B" w:rsidRDefault="00C16E56" w:rsidP="00C16E56">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44A00D12" w14:textId="77777777" w:rsidR="00C16E56" w:rsidRPr="00216A4B" w:rsidRDefault="00C16E56" w:rsidP="00C16E56">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B224813" w14:textId="77777777" w:rsidR="00C16E56" w:rsidRPr="00216A4B" w:rsidRDefault="00C16E56" w:rsidP="00C16E56">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7D33E740" w14:textId="77777777" w:rsidR="00C16E56" w:rsidRPr="00216A4B" w:rsidRDefault="00C16E56" w:rsidP="00C16E56">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4B3B8719"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45BAA5DF"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47A230C"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7C9F3E53"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0426F47C"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657DF61D"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C5791CD"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6812217" w14:textId="77777777" w:rsidR="00C16E56" w:rsidRPr="00216A4B" w:rsidRDefault="00C16E56" w:rsidP="00C16E56">
      <w:pPr>
        <w:spacing w:line="240" w:lineRule="auto"/>
        <w:jc w:val="both"/>
        <w:rPr>
          <w:rFonts w:ascii="GHEA Grapalat" w:hAnsi="GHEA Grapalat"/>
          <w:sz w:val="20"/>
          <w:szCs w:val="20"/>
          <w:lang w:val="hy-AM"/>
        </w:rPr>
      </w:pPr>
    </w:p>
    <w:p w14:paraId="1305A42D" w14:textId="77777777" w:rsidR="00C16E56" w:rsidRPr="00216A4B" w:rsidRDefault="00C16E56" w:rsidP="00C16E56">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5A780154" w14:textId="77777777" w:rsidR="00C16E56" w:rsidRPr="00216A4B" w:rsidRDefault="00C16E56" w:rsidP="00C16E56">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48D7C915" w14:textId="77777777" w:rsidR="00C16E56" w:rsidRPr="00216A4B" w:rsidRDefault="00C16E56" w:rsidP="00C16E56">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194A151B" w14:textId="77777777" w:rsidR="00C16E56" w:rsidRPr="00216A4B" w:rsidRDefault="00C16E56" w:rsidP="00C16E56">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4A18648E" w14:textId="77777777" w:rsidR="00C16E56" w:rsidRPr="00216A4B" w:rsidRDefault="00C16E56" w:rsidP="00C16E56">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4D67AD2" w14:textId="77777777" w:rsidR="00C16E56" w:rsidRPr="00216A4B" w:rsidRDefault="00C16E56" w:rsidP="00C16E56">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53329EF5" w14:textId="77777777" w:rsidR="00C16E56" w:rsidRPr="00216A4B" w:rsidRDefault="00C16E56" w:rsidP="00C16E56">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58090095" w14:textId="77777777" w:rsidR="00C16E56" w:rsidRPr="00216A4B" w:rsidRDefault="00C16E56" w:rsidP="00C16E56">
      <w:pPr>
        <w:spacing w:line="240" w:lineRule="auto"/>
        <w:jc w:val="both"/>
        <w:rPr>
          <w:rFonts w:ascii="GHEA Grapalat" w:hAnsi="GHEA Grapalat"/>
          <w:sz w:val="20"/>
          <w:szCs w:val="20"/>
          <w:lang w:val="hy-AM"/>
        </w:rPr>
      </w:pPr>
    </w:p>
    <w:p w14:paraId="6C683D53" w14:textId="77777777" w:rsidR="00C16E56" w:rsidRPr="00216A4B" w:rsidRDefault="00C16E56" w:rsidP="00C16E56">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6059A40" w14:textId="77777777" w:rsidR="00C16E56" w:rsidRPr="00216A4B" w:rsidRDefault="00C16E56" w:rsidP="00C16E56">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FFB8841" w14:textId="77777777" w:rsidR="00C16E56" w:rsidRPr="00216A4B" w:rsidRDefault="00C16E56" w:rsidP="00C16E56">
      <w:pPr>
        <w:jc w:val="both"/>
        <w:rPr>
          <w:rFonts w:ascii="GHEA Grapalat" w:hAnsi="GHEA Grapalat"/>
          <w:sz w:val="18"/>
          <w:szCs w:val="18"/>
          <w:lang w:val="hy-AM"/>
        </w:rPr>
      </w:pPr>
    </w:p>
    <w:p w14:paraId="7FA6FAF4" w14:textId="77777777" w:rsidR="00C16E56" w:rsidRPr="004233DD" w:rsidRDefault="00C16E56" w:rsidP="00C16E56">
      <w:pPr>
        <w:rPr>
          <w:rFonts w:ascii="GHEA Grapalat" w:hAnsi="GHEA Grapalat"/>
          <w:sz w:val="20"/>
          <w:szCs w:val="20"/>
          <w:lang w:val="hy-AM"/>
        </w:rPr>
      </w:pPr>
    </w:p>
    <w:p w14:paraId="2D2884ED" w14:textId="77777777" w:rsidR="002F76E3" w:rsidRPr="004233DD" w:rsidRDefault="002F76E3" w:rsidP="00C16E56">
      <w:pPr>
        <w:jc w:val="cente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882618">
    <w:abstractNumId w:val="1"/>
  </w:num>
  <w:num w:numId="2" w16cid:durableId="146241008">
    <w:abstractNumId w:val="0"/>
  </w:num>
  <w:num w:numId="3" w16cid:durableId="295110375">
    <w:abstractNumId w:val="3"/>
  </w:num>
  <w:num w:numId="4" w16cid:durableId="838079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B12AD"/>
    <w:rsid w:val="000B530F"/>
    <w:rsid w:val="000C1E74"/>
    <w:rsid w:val="000D7AFA"/>
    <w:rsid w:val="000F6FAD"/>
    <w:rsid w:val="00106D65"/>
    <w:rsid w:val="001141D8"/>
    <w:rsid w:val="001176DF"/>
    <w:rsid w:val="00133D5B"/>
    <w:rsid w:val="0014089F"/>
    <w:rsid w:val="0014480B"/>
    <w:rsid w:val="00147BAD"/>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168D"/>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62F4"/>
    <w:rsid w:val="00426D13"/>
    <w:rsid w:val="00440C90"/>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532"/>
    <w:rsid w:val="00577F8A"/>
    <w:rsid w:val="005B0082"/>
    <w:rsid w:val="005B02C9"/>
    <w:rsid w:val="005B3343"/>
    <w:rsid w:val="005E16F2"/>
    <w:rsid w:val="005E331D"/>
    <w:rsid w:val="005F38AC"/>
    <w:rsid w:val="005F7D93"/>
    <w:rsid w:val="006039E0"/>
    <w:rsid w:val="00615EEB"/>
    <w:rsid w:val="00622740"/>
    <w:rsid w:val="006275D8"/>
    <w:rsid w:val="0063086D"/>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D3DD8"/>
    <w:rsid w:val="007F6839"/>
    <w:rsid w:val="008034E3"/>
    <w:rsid w:val="008202C4"/>
    <w:rsid w:val="008215C0"/>
    <w:rsid w:val="00824E62"/>
    <w:rsid w:val="00835934"/>
    <w:rsid w:val="008576C4"/>
    <w:rsid w:val="00873C05"/>
    <w:rsid w:val="008866BE"/>
    <w:rsid w:val="008930B1"/>
    <w:rsid w:val="008A13B5"/>
    <w:rsid w:val="008B6C78"/>
    <w:rsid w:val="008E6273"/>
    <w:rsid w:val="008E6524"/>
    <w:rsid w:val="009037C5"/>
    <w:rsid w:val="00910837"/>
    <w:rsid w:val="00914E57"/>
    <w:rsid w:val="009402D0"/>
    <w:rsid w:val="009553EF"/>
    <w:rsid w:val="0096097F"/>
    <w:rsid w:val="009709DB"/>
    <w:rsid w:val="009915DB"/>
    <w:rsid w:val="009B2D8C"/>
    <w:rsid w:val="009D1240"/>
    <w:rsid w:val="009D3B1A"/>
    <w:rsid w:val="009D5C82"/>
    <w:rsid w:val="009E7846"/>
    <w:rsid w:val="009E7F8D"/>
    <w:rsid w:val="009F334B"/>
    <w:rsid w:val="00A14821"/>
    <w:rsid w:val="00A22D70"/>
    <w:rsid w:val="00A2641F"/>
    <w:rsid w:val="00A27F2A"/>
    <w:rsid w:val="00A32B34"/>
    <w:rsid w:val="00A45642"/>
    <w:rsid w:val="00A56EC9"/>
    <w:rsid w:val="00A65AA4"/>
    <w:rsid w:val="00A97B2D"/>
    <w:rsid w:val="00AA16E0"/>
    <w:rsid w:val="00AA395A"/>
    <w:rsid w:val="00AA4949"/>
    <w:rsid w:val="00AA59ED"/>
    <w:rsid w:val="00AA5A67"/>
    <w:rsid w:val="00AB701C"/>
    <w:rsid w:val="00AC5FB3"/>
    <w:rsid w:val="00AD7B4F"/>
    <w:rsid w:val="00AF1435"/>
    <w:rsid w:val="00AF2339"/>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16E56"/>
    <w:rsid w:val="00C369C1"/>
    <w:rsid w:val="00C37D0C"/>
    <w:rsid w:val="00C53048"/>
    <w:rsid w:val="00C54595"/>
    <w:rsid w:val="00C54F3E"/>
    <w:rsid w:val="00C55287"/>
    <w:rsid w:val="00C554E2"/>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D658E"/>
    <w:rsid w:val="00DE6BA0"/>
    <w:rsid w:val="00DF218A"/>
    <w:rsid w:val="00DF769A"/>
    <w:rsid w:val="00E00F2F"/>
    <w:rsid w:val="00E07BCA"/>
    <w:rsid w:val="00E166A6"/>
    <w:rsid w:val="00E17E3B"/>
    <w:rsid w:val="00E22626"/>
    <w:rsid w:val="00E22D19"/>
    <w:rsid w:val="00E35A84"/>
    <w:rsid w:val="00E35CF3"/>
    <w:rsid w:val="00E45763"/>
    <w:rsid w:val="00E660A4"/>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4</Pages>
  <Words>1476</Words>
  <Characters>8418</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340</cp:revision>
  <dcterms:created xsi:type="dcterms:W3CDTF">2024-10-29T08:16:00Z</dcterms:created>
  <dcterms:modified xsi:type="dcterms:W3CDTF">2026-02-17T06:49:00Z</dcterms:modified>
</cp:coreProperties>
</file>