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ՀՀ Շիրակի մարզի Գյումրի համայնքը հրավիրում է աճուրդի, ո</w:t>
      </w:r>
      <w:r w:rsidR="00952F6C">
        <w:rPr>
          <w:rFonts w:ascii="GHEA Grapalat" w:hAnsi="GHEA Grapalat"/>
          <w:b/>
          <w:bCs/>
          <w:lang w:val="hy-AM"/>
        </w:rPr>
        <w:t>րը տեղի կունենա 2026թ. հուլիսի 14</w:t>
      </w:r>
      <w:r>
        <w:rPr>
          <w:rFonts w:ascii="GHEA Grapalat" w:hAnsi="GHEA Grapalat"/>
          <w:b/>
          <w:bCs/>
          <w:lang w:val="hy-AM"/>
        </w:rPr>
        <w:t xml:space="preserve">-ին, ժամը՝ 11։00ին </w:t>
      </w:r>
      <w:r w:rsidR="00170B4F">
        <w:fldChar w:fldCharType="begin"/>
      </w:r>
      <w:r w:rsidR="00170B4F" w:rsidRPr="00170B4F">
        <w:rPr>
          <w:lang w:val="hy-AM"/>
        </w:rPr>
        <w:instrText xml:space="preserve"> HYPERLINK "https://www.e-auctions.am" </w:instrText>
      </w:r>
      <w:r w:rsidR="00170B4F">
        <w:fldChar w:fldCharType="separate"/>
      </w:r>
      <w:r w:rsidRPr="00214D0C">
        <w:rPr>
          <w:rStyle w:val="a3"/>
          <w:rFonts w:ascii="GHEA Grapalat" w:eastAsiaTheme="majorEastAsia" w:hAnsi="GHEA Grapalat"/>
          <w:b/>
          <w:bCs/>
          <w:lang w:val="hy-AM"/>
        </w:rPr>
        <w:t>https://www.e-auctions.am</w:t>
      </w:r>
      <w:r w:rsidR="00170B4F">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516C46" w:rsidRDefault="00516C46" w:rsidP="00516C46">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516C46" w:rsidRDefault="00516C46" w:rsidP="00516C46">
      <w:pPr>
        <w:ind w:firstLine="720"/>
        <w:jc w:val="center"/>
        <w:rPr>
          <w:rFonts w:ascii="GHEA Grapalat" w:hAnsi="GHEA Grapalat"/>
          <w:b/>
          <w:bCs/>
          <w:lang w:val="hy-AM"/>
        </w:rPr>
      </w:pPr>
      <w:bookmarkStart w:id="1" w:name="_Hlk181692298"/>
      <w:r>
        <w:rPr>
          <w:rFonts w:ascii="GHEA Grapalat" w:hAnsi="GHEA Grapalat"/>
          <w:b/>
          <w:bCs/>
          <w:lang w:val="hy-AM"/>
        </w:rPr>
        <w:t>ՀՀ Շիրակի մարզի Գյումրի համայնքի ավագանու 2026 թվականի մայիսի 07-ի թիվ 90-Ա  և ՀՀ Շիրակի մարզի Գյումրի համայնքի ղեկավարի 2026 թվականի հունիսի 01-ի թիվ 1646-Ա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214D0C" w:rsidRDefault="00AE6E01" w:rsidP="00214D0C">
            <w:pPr>
              <w:spacing w:line="276" w:lineRule="auto"/>
              <w:jc w:val="center"/>
              <w:rPr>
                <w:rFonts w:ascii="GHEA Grapalat" w:hAnsi="GHEA Grapalat" w:cs="Calibri"/>
                <w:kern w:val="2"/>
                <w:sz w:val="16"/>
                <w:szCs w:val="16"/>
                <w:lang w:val="en-US"/>
                <w14:ligatures w14:val="standardContextual"/>
              </w:rPr>
            </w:pPr>
            <w:r w:rsidRPr="00AE6E01">
              <w:rPr>
                <w:rFonts w:ascii="Helvetica" w:hAnsi="Helvetica"/>
                <w:sz w:val="21"/>
                <w:szCs w:val="21"/>
                <w:shd w:val="clear" w:color="auto" w:fill="F5F5F5"/>
              </w:rPr>
              <w:t>5515334</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Default="00AE6E01" w:rsidP="001A565C">
            <w:pPr>
              <w:spacing w:line="276" w:lineRule="auto"/>
              <w:jc w:val="center"/>
              <w:rPr>
                <w:rFonts w:ascii="GHEA Grapalat" w:hAnsi="GHEA Grapalat" w:cs="Calibri"/>
                <w:kern w:val="2"/>
                <w:sz w:val="16"/>
                <w:szCs w:val="16"/>
                <w:highlight w:val="yellow"/>
                <w:lang w:val="hy-AM"/>
                <w14:ligatures w14:val="standardContextual"/>
              </w:rPr>
            </w:pPr>
            <w:r w:rsidRPr="00AE6E01">
              <w:rPr>
                <w:sz w:val="20"/>
                <w:szCs w:val="20"/>
                <w:lang w:val="hy-AM"/>
              </w:rPr>
              <w:t>Մարզ Շիրակ,</w:t>
            </w:r>
            <w:r>
              <w:rPr>
                <w:sz w:val="20"/>
                <w:szCs w:val="20"/>
                <w:lang w:val="hy-AM"/>
              </w:rPr>
              <w:t xml:space="preserve">Գյումրի </w:t>
            </w:r>
            <w:r w:rsidRPr="00AE6E01">
              <w:rPr>
                <w:sz w:val="20"/>
                <w:szCs w:val="20"/>
                <w:lang w:val="hy-AM"/>
              </w:rPr>
              <w:t xml:space="preserve"> համայնք, </w:t>
            </w:r>
            <w:r w:rsidRPr="003A5550">
              <w:rPr>
                <w:sz w:val="20"/>
                <w:szCs w:val="20"/>
                <w:lang w:val="hy-AM"/>
              </w:rPr>
              <w:t>Երևանյան խճուղի 143/16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rFonts w:ascii="GHEA Grapalat" w:hAnsi="GHEA Grapalat" w:cs="Calibri"/>
                <w:kern w:val="2"/>
                <w:sz w:val="16"/>
                <w:szCs w:val="16"/>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Default="00AE6E01" w:rsidP="00214D0C">
            <w:pPr>
              <w:spacing w:line="276" w:lineRule="auto"/>
              <w:jc w:val="center"/>
              <w:rPr>
                <w:rFonts w:ascii="GHEA Grapalat" w:hAnsi="GHEA Grapalat" w:cs="Calibri"/>
                <w:kern w:val="2"/>
                <w:sz w:val="16"/>
                <w:szCs w:val="16"/>
                <w:highlight w:val="yellow"/>
                <w:lang w:val="hy-AM"/>
                <w14:ligatures w14:val="standardContextual"/>
              </w:rPr>
            </w:pPr>
            <w:r w:rsidRPr="00AE6E01">
              <w:rPr>
                <w:rFonts w:ascii="GHEA Grapalat" w:hAnsi="GHEA Grapalat" w:cs="Calibri"/>
                <w:kern w:val="2"/>
                <w:sz w:val="16"/>
                <w:szCs w:val="16"/>
                <w:lang w:val="hy-AM"/>
                <w14:ligatures w14:val="standardContextual"/>
              </w:rPr>
              <w:t>0.012188</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AE6E01"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1457000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Default="00AE6E01" w:rsidP="00214D0C">
            <w:pPr>
              <w:spacing w:line="276" w:lineRule="auto"/>
              <w:jc w:val="center"/>
              <w:rPr>
                <w:rFonts w:ascii="GHEA Grapalat" w:hAnsi="GHEA Grapalat" w:cs="Calibri"/>
                <w:kern w:val="2"/>
                <w:sz w:val="16"/>
                <w:szCs w:val="16"/>
                <w:lang w:val="hy-AM"/>
                <w14:ligatures w14:val="standardContextual"/>
              </w:rPr>
            </w:pPr>
            <w:r w:rsidRPr="00AE6E01">
              <w:rPr>
                <w:sz w:val="20"/>
                <w:szCs w:val="20"/>
                <w:lang w:val="hy-AM"/>
              </w:rPr>
              <w:t>832964.48</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Default="00AE6E01"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2185500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032F5E" w:rsidRDefault="00AE6E01" w:rsidP="00214D0C">
            <w:pPr>
              <w:spacing w:line="276" w:lineRule="auto"/>
              <w:jc w:val="center"/>
              <w:rPr>
                <w:sz w:val="20"/>
                <w:szCs w:val="20"/>
                <w:lang w:val="hy-AM"/>
              </w:rPr>
            </w:pPr>
            <w:r w:rsidRPr="00AE6E01">
              <w:rPr>
                <w:sz w:val="20"/>
                <w:szCs w:val="20"/>
                <w:lang w:val="hy-AM"/>
              </w:rPr>
              <w:t>655650</w:t>
            </w:r>
            <w:bookmarkStart w:id="2" w:name="_GoBack"/>
            <w:bookmarkEnd w:id="2"/>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Default="00577182" w:rsidP="00827D4C">
            <w:pPr>
              <w:spacing w:line="276" w:lineRule="auto"/>
              <w:jc w:val="center"/>
              <w:rPr>
                <w:rFonts w:ascii="GHEA Grapalat" w:hAnsi="GHEA Grapalat" w:cs="Calibri"/>
                <w:kern w:val="2"/>
                <w:sz w:val="16"/>
                <w:szCs w:val="16"/>
                <w:highlight w:val="yellow"/>
                <w:lang w:val="hy-AM"/>
                <w14:ligatures w14:val="standardContextual"/>
              </w:rPr>
            </w:pPr>
            <w:r w:rsidRPr="00577182">
              <w:rPr>
                <w:rFonts w:ascii="GHEA Grapalat" w:hAnsi="GHEA Grapalat" w:cs="Calibri"/>
                <w:kern w:val="2"/>
                <w:sz w:val="16"/>
                <w:szCs w:val="16"/>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w:t>
      </w:r>
      <w:r>
        <w:rPr>
          <w:rFonts w:ascii="GHEA Grapalat" w:hAnsi="GHEA Grapalat"/>
          <w:b/>
          <w:bCs/>
          <w:i/>
          <w:iCs/>
          <w:color w:val="000000" w:themeColor="text1"/>
          <w:sz w:val="20"/>
          <w:szCs w:val="20"/>
          <w:lang w:val="hy-AM"/>
        </w:rPr>
        <w:lastRenderedPageBreak/>
        <w:t>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170B4F"/>
    <w:rsid w:val="001A565C"/>
    <w:rsid w:val="00214D0C"/>
    <w:rsid w:val="00516C46"/>
    <w:rsid w:val="00577182"/>
    <w:rsid w:val="00674DD8"/>
    <w:rsid w:val="00774619"/>
    <w:rsid w:val="00952F6C"/>
    <w:rsid w:val="00955FAE"/>
    <w:rsid w:val="00A42746"/>
    <w:rsid w:val="00A74DD5"/>
    <w:rsid w:val="00AE6E01"/>
    <w:rsid w:val="00D45CC2"/>
    <w:rsid w:val="00E55EBC"/>
    <w:rsid w:val="00F97567"/>
    <w:rsid w:val="00FB5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1321</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2026-06-12T06:39:00Z</dcterms:created>
  <dcterms:modified xsi:type="dcterms:W3CDTF">2026-06-12T09:50:00Z</dcterms:modified>
</cp:coreProperties>
</file>