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21653878"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893A92">
              <w:rPr>
                <w:rFonts w:ascii="GHEA Grapalat" w:hAnsi="GHEA Grapalat" w:cs="Calibri"/>
                <w:kern w:val="2"/>
                <w:sz w:val="16"/>
                <w:szCs w:val="16"/>
                <w:lang w:val="hy-AM"/>
                <w14:ligatures w14:val="standardContextual"/>
              </w:rPr>
              <w:t>57</w:t>
            </w:r>
            <w:r w:rsidRPr="008F563B">
              <w:rPr>
                <w:rFonts w:ascii="GHEA Grapalat" w:hAnsi="GHEA Grapalat" w:cs="Calibri"/>
                <w:kern w:val="2"/>
                <w:sz w:val="16"/>
                <w:szCs w:val="16"/>
                <w:lang w:val="hy-AM"/>
                <w14:ligatures w14:val="standardContextual"/>
              </w:rPr>
              <w:t>-0</w:t>
            </w:r>
            <w:r w:rsidR="00153783">
              <w:rPr>
                <w:rFonts w:ascii="GHEA Grapalat" w:hAnsi="GHEA Grapalat" w:cs="Calibri"/>
                <w:kern w:val="2"/>
                <w:sz w:val="16"/>
                <w:szCs w:val="16"/>
                <w:lang w:val="hy-AM"/>
                <w14:ligatures w14:val="standardContextual"/>
              </w:rPr>
              <w:t>129</w:t>
            </w:r>
            <w:r w:rsidRPr="008F563B">
              <w:rPr>
                <w:rFonts w:ascii="GHEA Grapalat" w:hAnsi="GHEA Grapalat" w:cs="Calibri"/>
                <w:kern w:val="2"/>
                <w:sz w:val="16"/>
                <w:szCs w:val="16"/>
                <w:lang w:val="hy-AM"/>
                <w14:ligatures w14:val="standardContextual"/>
              </w:rPr>
              <w:t>-00</w:t>
            </w:r>
            <w:r w:rsidR="00153783">
              <w:rPr>
                <w:rFonts w:ascii="GHEA Grapalat" w:hAnsi="GHEA Grapalat" w:cs="Calibri"/>
                <w:kern w:val="2"/>
                <w:sz w:val="16"/>
                <w:szCs w:val="16"/>
                <w:lang w:val="hy-AM"/>
                <w14:ligatures w14:val="standardContextual"/>
              </w:rPr>
              <w:t>13</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43341934"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893A92">
              <w:rPr>
                <w:rFonts w:ascii="GHEA Grapalat" w:hAnsi="GHEA Grapalat" w:cs="Calibri"/>
                <w:kern w:val="2"/>
                <w:sz w:val="16"/>
                <w:szCs w:val="16"/>
                <w:lang w:val="hy-AM"/>
                <w14:ligatures w14:val="standardContextual"/>
              </w:rPr>
              <w:t xml:space="preserve">Կուրթան </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42CDA1D2"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w:t>
            </w:r>
            <w:r w:rsidR="00153783">
              <w:rPr>
                <w:rFonts w:ascii="GHEA Grapalat" w:hAnsi="GHEA Grapalat" w:cs="Calibri"/>
                <w:kern w:val="2"/>
                <w:sz w:val="16"/>
                <w:szCs w:val="16"/>
                <w:lang w:val="hy-AM"/>
                <w14:ligatures w14:val="standardContextual"/>
              </w:rPr>
              <w:t>1373</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320C6DBB" w:rsidR="00300BC9" w:rsidRPr="00D050E7" w:rsidRDefault="00153783"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657068">
              <w:rPr>
                <w:rFonts w:ascii="GHEA Grapalat" w:hAnsi="GHEA Grapalat" w:cs="Calibri"/>
                <w:kern w:val="2"/>
                <w:sz w:val="16"/>
                <w:szCs w:val="16"/>
                <w:lang w:val="hy-AM"/>
                <w14:ligatures w14:val="standardContextual"/>
              </w:rPr>
              <w:t>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09A943D8"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153783">
              <w:rPr>
                <w:rFonts w:ascii="GHEA Grapalat" w:hAnsi="GHEA Grapalat" w:cs="Calibri"/>
                <w:kern w:val="2"/>
                <w:sz w:val="16"/>
                <w:szCs w:val="16"/>
                <w:lang w:val="hy-AM"/>
                <w14:ligatures w14:val="standardContextual"/>
              </w:rPr>
              <w:t>1</w:t>
            </w:r>
            <w:r w:rsidR="00657068">
              <w:rPr>
                <w:rFonts w:ascii="GHEA Grapalat" w:hAnsi="GHEA Grapalat" w:cs="Calibri"/>
                <w:kern w:val="2"/>
                <w:sz w:val="16"/>
                <w:szCs w:val="16"/>
                <w:lang w:val="hy-AM"/>
                <w14:ligatures w14:val="standardContextual"/>
              </w:rPr>
              <w:t>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0A24E5F1"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153783">
              <w:rPr>
                <w:rFonts w:ascii="GHEA Grapalat" w:hAnsi="GHEA Grapalat" w:cs="Calibri"/>
                <w:kern w:val="2"/>
                <w:sz w:val="16"/>
                <w:szCs w:val="16"/>
                <w:lang w:val="hy-AM"/>
                <w14:ligatures w14:val="standardContextual"/>
              </w:rPr>
              <w:t>7200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3D9C5AEF"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36B81390" w:rsidR="00300BC9" w:rsidRPr="00D050E7" w:rsidRDefault="00153783"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40000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1B73D67B"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D050E7">
              <w:rPr>
                <w:rFonts w:ascii="GHEA Grapalat" w:hAnsi="GHEA Grapalat" w:cs="Calibri"/>
                <w:kern w:val="2"/>
                <w:sz w:val="16"/>
                <w:szCs w:val="16"/>
                <w:lang w:val="hy-AM"/>
                <w14:ligatures w14:val="standardContextual"/>
              </w:rPr>
              <w:t>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153783"/>
    <w:rsid w:val="00277075"/>
    <w:rsid w:val="00300BC9"/>
    <w:rsid w:val="005F3C11"/>
    <w:rsid w:val="006454DD"/>
    <w:rsid w:val="00657068"/>
    <w:rsid w:val="00863659"/>
    <w:rsid w:val="00893A92"/>
    <w:rsid w:val="008F563B"/>
    <w:rsid w:val="009530D1"/>
    <w:rsid w:val="00CE1C86"/>
    <w:rsid w:val="00D050E7"/>
    <w:rsid w:val="00E130B8"/>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1265</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2026-07-09T08:12:00Z</dcterms:created>
  <dcterms:modified xsi:type="dcterms:W3CDTF">2026-07-09T08:12:00Z</dcterms:modified>
</cp:coreProperties>
</file>