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170325"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0F4136">
        <w:rPr>
          <w:rFonts w:ascii="GHEA Grapalat" w:hAnsi="GHEA Grapalat"/>
          <w:b/>
          <w:bCs/>
          <w:i/>
          <w:iCs/>
          <w:kern w:val="0"/>
          <w:lang w:val="hy-AM"/>
          <w14:ligatures w14:val="none"/>
        </w:rPr>
        <w:t>2026թ. սեպտեմբերի 3-ին, ժամը՝ 11:</w:t>
      </w:r>
      <w:r w:rsidR="000F4136">
        <w:rPr>
          <w:rFonts w:ascii="GHEA Grapalat" w:hAnsi="GHEA Grapalat"/>
          <w:b/>
          <w:bCs/>
          <w:i/>
          <w:iCs/>
          <w:kern w:val="0"/>
          <w:lang w:val="hy-AM"/>
          <w14:ligatures w14:val="none"/>
        </w:rPr>
        <w:t>20</w:t>
      </w:r>
      <w:r w:rsidR="000F4136">
        <w:rPr>
          <w:rFonts w:ascii="GHEA Grapalat" w:hAnsi="GHEA Grapalat"/>
          <w:b/>
          <w:bCs/>
          <w:i/>
          <w:iCs/>
          <w:kern w:val="0"/>
          <w:lang w:val="hy-AM"/>
          <w14:ligatures w14:val="none"/>
        </w:rPr>
        <w:t>-ին</w:t>
      </w:r>
      <w:r w:rsidR="000F4136">
        <w:rPr>
          <w:rFonts w:ascii="GHEA Grapalat" w:hAnsi="GHEA Grapalat"/>
          <w:i/>
          <w:iCs/>
          <w:kern w:val="0"/>
          <w:lang w:val="hy-AM"/>
          <w14:ligatures w14:val="none"/>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77126C4C" w:rsidR="002F76E3" w:rsidRPr="005F628B"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63"/>
        <w:gridCol w:w="1230"/>
        <w:gridCol w:w="1276"/>
        <w:gridCol w:w="1134"/>
        <w:gridCol w:w="1383"/>
        <w:gridCol w:w="1236"/>
        <w:gridCol w:w="1280"/>
        <w:gridCol w:w="1280"/>
        <w:gridCol w:w="1259"/>
        <w:gridCol w:w="1192"/>
        <w:gridCol w:w="1442"/>
      </w:tblGrid>
      <w:tr w:rsidR="00725016" w:rsidRPr="00F60511" w14:paraId="6573C837" w14:textId="77777777" w:rsidTr="005F628B">
        <w:trPr>
          <w:trHeight w:val="2195"/>
          <w:jc w:val="center"/>
        </w:trPr>
        <w:tc>
          <w:tcPr>
            <w:tcW w:w="988" w:type="dxa"/>
            <w:vAlign w:val="center"/>
            <w:hideMark/>
          </w:tcPr>
          <w:bookmarkEnd w:id="1"/>
          <w:p w14:paraId="3573C451" w14:textId="2B94D979" w:rsidR="00725016" w:rsidRPr="00F60511" w:rsidRDefault="005756A8" w:rsidP="002F76E3">
            <w:pPr>
              <w:spacing w:after="0" w:line="240" w:lineRule="auto"/>
              <w:jc w:val="center"/>
              <w:rPr>
                <w:rFonts w:ascii="GHEA Grapalat" w:eastAsia="Times New Roman" w:hAnsi="GHEA Grapalat" w:cs="Calibri"/>
                <w:b/>
                <w:bCs/>
                <w:kern w:val="0"/>
                <w:sz w:val="16"/>
                <w:szCs w:val="16"/>
                <w:lang w:val="hy-AM"/>
                <w14:ligatures w14:val="none"/>
              </w:rPr>
            </w:pPr>
            <w:r w:rsidRPr="00F60511">
              <w:rPr>
                <w:rFonts w:ascii="GHEA Grapalat" w:eastAsia="Microsoft YaHei" w:hAnsi="GHEA Grapalat" w:cs="Microsoft YaHei"/>
                <w:b/>
                <w:bCs/>
                <w:kern w:val="0"/>
                <w:sz w:val="16"/>
                <w:szCs w:val="16"/>
                <w:lang w:val="hy-AM"/>
                <w14:ligatures w14:val="none"/>
              </w:rPr>
              <w:t>Ո</w:t>
            </w:r>
            <w:r w:rsidR="006B5BFE" w:rsidRPr="00F60511">
              <w:rPr>
                <w:rFonts w:ascii="GHEA Grapalat" w:eastAsia="Microsoft YaHei" w:hAnsi="GHEA Grapalat" w:cs="Microsoft YaHei"/>
                <w:b/>
                <w:bCs/>
                <w:kern w:val="0"/>
                <w:sz w:val="16"/>
                <w:szCs w:val="16"/>
                <w:lang w:val="hy-AM"/>
                <w14:ligatures w14:val="none"/>
              </w:rPr>
              <w:t>րոշման</w:t>
            </w:r>
            <w:r w:rsidR="000C094C" w:rsidRPr="00F60511">
              <w:rPr>
                <w:rFonts w:ascii="GHEA Grapalat" w:eastAsia="Microsoft YaHei" w:hAnsi="GHEA Grapalat" w:cs="Microsoft YaHei"/>
                <w:b/>
                <w:bCs/>
                <w:kern w:val="0"/>
                <w:sz w:val="16"/>
                <w:szCs w:val="16"/>
                <w:lang w:val="hy-AM"/>
                <w14:ligatures w14:val="none"/>
              </w:rPr>
              <w:t xml:space="preserve"> հավելվածի</w:t>
            </w:r>
            <w:r w:rsidR="00725016" w:rsidRPr="00F60511">
              <w:rPr>
                <w:rFonts w:ascii="GHEA Grapalat" w:eastAsia="Times New Roman" w:hAnsi="GHEA Grapalat" w:cs="Calibri"/>
                <w:b/>
                <w:bCs/>
                <w:kern w:val="0"/>
                <w:sz w:val="16"/>
                <w:szCs w:val="16"/>
                <w:lang w:val="hy-AM"/>
                <w14:ligatures w14:val="none"/>
              </w:rPr>
              <w:t xml:space="preserve"> լոտի համարը </w:t>
            </w:r>
          </w:p>
        </w:tc>
        <w:tc>
          <w:tcPr>
            <w:tcW w:w="1463" w:type="dxa"/>
            <w:vAlign w:val="center"/>
            <w:hideMark/>
          </w:tcPr>
          <w:p w14:paraId="353F3383" w14:textId="15A8C11A"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Լոտի անվանումը</w:t>
            </w:r>
          </w:p>
        </w:tc>
        <w:tc>
          <w:tcPr>
            <w:tcW w:w="1230" w:type="dxa"/>
            <w:vAlign w:val="center"/>
            <w:hideMark/>
          </w:tcPr>
          <w:p w14:paraId="54A80B7F" w14:textId="6BFE183B"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Հասցե</w:t>
            </w:r>
          </w:p>
        </w:tc>
        <w:tc>
          <w:tcPr>
            <w:tcW w:w="1276" w:type="dxa"/>
            <w:vAlign w:val="center"/>
            <w:hideMark/>
          </w:tcPr>
          <w:p w14:paraId="4DCDD7FC" w14:textId="2325E179"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 xml:space="preserve"> Ընդհանուր մակերեսը (քառ. մետր)</w:t>
            </w:r>
          </w:p>
        </w:tc>
        <w:tc>
          <w:tcPr>
            <w:tcW w:w="1134" w:type="dxa"/>
            <w:vAlign w:val="center"/>
            <w:hideMark/>
          </w:tcPr>
          <w:p w14:paraId="6CE3B802" w14:textId="79E0A01C"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Հողամասի մակերեսը (</w:t>
            </w:r>
            <w:r w:rsidRPr="00F60511">
              <w:rPr>
                <w:rFonts w:ascii="GHEA Grapalat" w:eastAsia="Times New Roman" w:hAnsi="GHEA Grapalat" w:cs="Calibri"/>
                <w:b/>
                <w:bCs/>
                <w:kern w:val="0"/>
                <w:sz w:val="16"/>
                <w:szCs w:val="16"/>
                <w:lang w:val="hy-AM"/>
                <w14:ligatures w14:val="none"/>
              </w:rPr>
              <w:t>հեկտար</w:t>
            </w:r>
            <w:r w:rsidRPr="00F60511">
              <w:rPr>
                <w:rFonts w:ascii="GHEA Grapalat" w:eastAsia="Times New Roman" w:hAnsi="GHEA Grapalat" w:cs="Calibri"/>
                <w:b/>
                <w:bCs/>
                <w:kern w:val="0"/>
                <w:sz w:val="16"/>
                <w:szCs w:val="16"/>
                <w14:ligatures w14:val="none"/>
              </w:rPr>
              <w:t xml:space="preserve">)                                                             </w:t>
            </w:r>
          </w:p>
        </w:tc>
        <w:tc>
          <w:tcPr>
            <w:tcW w:w="1383" w:type="dxa"/>
            <w:vAlign w:val="center"/>
            <w:hideMark/>
          </w:tcPr>
          <w:p w14:paraId="77172048" w14:textId="0ED1A926"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Անշարժ գույքի գնահատված արժեքը                                (ՀՀ դրամ)</w:t>
            </w:r>
          </w:p>
        </w:tc>
        <w:tc>
          <w:tcPr>
            <w:tcW w:w="1236" w:type="dxa"/>
            <w:vAlign w:val="center"/>
          </w:tcPr>
          <w:p w14:paraId="1CD8A83F" w14:textId="77777777" w:rsidR="00725016" w:rsidRPr="00F60511" w:rsidRDefault="00725016" w:rsidP="00F9477F">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3C4937EE" w:rsidR="00725016" w:rsidRPr="00F60511" w:rsidRDefault="00725016" w:rsidP="00F9477F">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(ՀՀ դրամ)</w:t>
            </w:r>
          </w:p>
        </w:tc>
        <w:tc>
          <w:tcPr>
            <w:tcW w:w="1280" w:type="dxa"/>
          </w:tcPr>
          <w:p w14:paraId="79076FB0" w14:textId="77777777"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p>
          <w:p w14:paraId="28292AAF" w14:textId="77777777" w:rsidR="006B5BFE"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w:t>
            </w:r>
          </w:p>
          <w:p w14:paraId="23BE7491" w14:textId="6984D696"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 xml:space="preserve"> (ՀՀ դրամ)</w:t>
            </w:r>
          </w:p>
        </w:tc>
        <w:tc>
          <w:tcPr>
            <w:tcW w:w="1280" w:type="dxa"/>
            <w:vAlign w:val="center"/>
            <w:hideMark/>
          </w:tcPr>
          <w:p w14:paraId="4D3E583A" w14:textId="365987E0"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Լոտի մեկնարկային գինը</w:t>
            </w:r>
            <w:r w:rsidRPr="00F605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5BF5E1B7"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Նվազագույն գնային հավելման չափը</w:t>
            </w:r>
          </w:p>
          <w:p w14:paraId="6E51605F" w14:textId="75AE257D"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(ՀՀ դրամ)</w:t>
            </w:r>
          </w:p>
        </w:tc>
        <w:tc>
          <w:tcPr>
            <w:tcW w:w="1442" w:type="dxa"/>
            <w:vAlign w:val="center"/>
            <w:hideMark/>
          </w:tcPr>
          <w:p w14:paraId="7872C16F" w14:textId="580A6020"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60511">
              <w:rPr>
                <w:rFonts w:ascii="GHEA Grapalat" w:eastAsia="Times New Roman" w:hAnsi="GHEA Grapalat" w:cs="Calibri"/>
                <w:b/>
                <w:bCs/>
                <w:kern w:val="0"/>
                <w:sz w:val="16"/>
                <w:szCs w:val="16"/>
                <w14:ligatures w14:val="none"/>
              </w:rPr>
              <w:br/>
              <w:t>(ՀՀ դրամ)</w:t>
            </w:r>
          </w:p>
        </w:tc>
      </w:tr>
      <w:tr w:rsidR="00725016" w:rsidRPr="00F60511" w14:paraId="00FAF59A" w14:textId="77777777" w:rsidTr="005F628B">
        <w:trPr>
          <w:trHeight w:val="2145"/>
          <w:jc w:val="center"/>
        </w:trPr>
        <w:tc>
          <w:tcPr>
            <w:tcW w:w="988" w:type="dxa"/>
            <w:noWrap/>
            <w:vAlign w:val="center"/>
            <w:hideMark/>
          </w:tcPr>
          <w:p w14:paraId="72C0740E" w14:textId="60FE9828" w:rsidR="00725016" w:rsidRPr="00F60511" w:rsidRDefault="00725016" w:rsidP="0030458B">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5</w:t>
            </w:r>
          </w:p>
        </w:tc>
        <w:tc>
          <w:tcPr>
            <w:tcW w:w="1463" w:type="dxa"/>
            <w:shd w:val="clear" w:color="000000" w:fill="FFFFFF"/>
            <w:vAlign w:val="center"/>
            <w:hideMark/>
          </w:tcPr>
          <w:p w14:paraId="5C3132A6" w14:textId="41474042" w:rsidR="00725016" w:rsidRPr="00F60511" w:rsidRDefault="00725016" w:rsidP="0030458B">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Շենք-շինություններ և հողամաս</w:t>
            </w:r>
          </w:p>
        </w:tc>
        <w:tc>
          <w:tcPr>
            <w:tcW w:w="1230" w:type="dxa"/>
            <w:shd w:val="clear" w:color="000000" w:fill="FFFFFF"/>
            <w:vAlign w:val="center"/>
            <w:hideMark/>
          </w:tcPr>
          <w:p w14:paraId="6670E3FE" w14:textId="4243833E" w:rsidR="00725016" w:rsidRPr="00F60511" w:rsidRDefault="00725016" w:rsidP="0030458B">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ՀՀ, մարզ Մարզ Գեղարքունիք, համայնք Սևան ք. Ռուսական փողոց թիվ 9 (Վկայական N 30042019-05-0039)</w:t>
            </w:r>
          </w:p>
        </w:tc>
        <w:tc>
          <w:tcPr>
            <w:tcW w:w="1276" w:type="dxa"/>
            <w:vAlign w:val="center"/>
            <w:hideMark/>
          </w:tcPr>
          <w:p w14:paraId="13E77160" w14:textId="42D713BA"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2572,67 (որից՝ Վարչական շենք - 2445.75  քմ, Ենթակայան- 24.44 ք.մ., Պահեստ - 75.44 ք.մ., Պահեստ - 27.04 ք.մ.)</w:t>
            </w:r>
          </w:p>
        </w:tc>
        <w:tc>
          <w:tcPr>
            <w:tcW w:w="1134" w:type="dxa"/>
            <w:vAlign w:val="center"/>
            <w:hideMark/>
          </w:tcPr>
          <w:p w14:paraId="30F52B25" w14:textId="43C1D4E7" w:rsidR="00725016" w:rsidRPr="00F60511" w:rsidRDefault="00725016" w:rsidP="0030458B">
            <w:pPr>
              <w:spacing w:after="0" w:line="240" w:lineRule="auto"/>
              <w:jc w:val="center"/>
              <w:rPr>
                <w:rFonts w:ascii="GHEA Grapalat" w:eastAsia="Microsoft YaHei" w:hAnsi="GHEA Grapalat" w:cs="Microsoft YaHei"/>
                <w:kern w:val="0"/>
                <w:sz w:val="16"/>
                <w:szCs w:val="16"/>
                <w:lang w:val="hy-AM"/>
                <w14:ligatures w14:val="none"/>
              </w:rPr>
            </w:pPr>
            <w:r w:rsidRPr="00F60511">
              <w:rPr>
                <w:rFonts w:ascii="GHEA Grapalat" w:eastAsia="Times New Roman" w:hAnsi="GHEA Grapalat" w:cs="Calibri"/>
                <w:kern w:val="0"/>
                <w:sz w:val="16"/>
                <w:szCs w:val="16"/>
                <w:lang w:val="hy-AM"/>
                <w14:ligatures w14:val="none"/>
              </w:rPr>
              <w:t>0.679</w:t>
            </w:r>
          </w:p>
        </w:tc>
        <w:tc>
          <w:tcPr>
            <w:tcW w:w="1383" w:type="dxa"/>
            <w:vAlign w:val="center"/>
            <w:hideMark/>
          </w:tcPr>
          <w:p w14:paraId="4884F7EB" w14:textId="387CBED7"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190</w:t>
            </w:r>
            <w:r w:rsidRPr="00F60511">
              <w:rPr>
                <w:rFonts w:ascii="Calibri" w:eastAsia="Times New Roman" w:hAnsi="Calibri" w:cs="Calibri"/>
                <w:kern w:val="0"/>
                <w:sz w:val="16"/>
                <w:szCs w:val="16"/>
                <w:lang w:val="hy-AM"/>
                <w14:ligatures w14:val="none"/>
              </w:rPr>
              <w:t> </w:t>
            </w:r>
            <w:r w:rsidRPr="00F60511">
              <w:rPr>
                <w:rFonts w:ascii="GHEA Grapalat" w:eastAsia="Times New Roman" w:hAnsi="GHEA Grapalat" w:cs="Calibri"/>
                <w:kern w:val="0"/>
                <w:sz w:val="16"/>
                <w:szCs w:val="16"/>
                <w:lang w:val="hy-AM"/>
                <w14:ligatures w14:val="none"/>
              </w:rPr>
              <w:t>500 000</w:t>
            </w:r>
          </w:p>
        </w:tc>
        <w:tc>
          <w:tcPr>
            <w:tcW w:w="1236" w:type="dxa"/>
            <w:vAlign w:val="center"/>
          </w:tcPr>
          <w:p w14:paraId="03DC9E7A" w14:textId="1F765282"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73</w:t>
            </w:r>
            <w:r w:rsidRPr="00F60511">
              <w:rPr>
                <w:rFonts w:ascii="Calibri" w:eastAsia="Times New Roman" w:hAnsi="Calibri" w:cs="Calibri"/>
                <w:kern w:val="0"/>
                <w:sz w:val="16"/>
                <w:szCs w:val="16"/>
                <w:lang w:val="hy-AM"/>
                <w14:ligatures w14:val="none"/>
              </w:rPr>
              <w:t> </w:t>
            </w:r>
            <w:r w:rsidRPr="00F60511">
              <w:rPr>
                <w:rFonts w:ascii="GHEA Grapalat" w:eastAsia="Times New Roman" w:hAnsi="GHEA Grapalat" w:cs="Calibri"/>
                <w:kern w:val="0"/>
                <w:sz w:val="16"/>
                <w:szCs w:val="16"/>
                <w:lang w:val="hy-AM"/>
                <w14:ligatures w14:val="none"/>
              </w:rPr>
              <w:t>300</w:t>
            </w:r>
            <w:r w:rsidRPr="00F60511">
              <w:rPr>
                <w:rFonts w:ascii="Calibri" w:eastAsia="Times New Roman" w:hAnsi="Calibri" w:cs="Calibri"/>
                <w:kern w:val="0"/>
                <w:sz w:val="16"/>
                <w:szCs w:val="16"/>
                <w:lang w:val="hy-AM"/>
                <w14:ligatures w14:val="none"/>
              </w:rPr>
              <w:t> </w:t>
            </w:r>
            <w:r w:rsidRPr="00F60511">
              <w:rPr>
                <w:rFonts w:ascii="GHEA Grapalat" w:eastAsia="Times New Roman" w:hAnsi="GHEA Grapalat" w:cs="Calibri"/>
                <w:kern w:val="0"/>
                <w:sz w:val="16"/>
                <w:szCs w:val="16"/>
                <w:lang w:val="hy-AM"/>
                <w14:ligatures w14:val="none"/>
              </w:rPr>
              <w:t>000</w:t>
            </w:r>
          </w:p>
        </w:tc>
        <w:tc>
          <w:tcPr>
            <w:tcW w:w="1280" w:type="dxa"/>
          </w:tcPr>
          <w:p w14:paraId="7D80D07E" w14:textId="77777777"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p>
          <w:p w14:paraId="04CC3667" w14:textId="77777777"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p>
          <w:p w14:paraId="515EF29A" w14:textId="2829C63A" w:rsidR="00725016" w:rsidRDefault="00725016" w:rsidP="0030458B">
            <w:pPr>
              <w:spacing w:after="0" w:line="240" w:lineRule="auto"/>
              <w:jc w:val="center"/>
              <w:rPr>
                <w:rFonts w:ascii="GHEA Grapalat" w:eastAsia="Times New Roman" w:hAnsi="GHEA Grapalat" w:cs="Calibri"/>
                <w:kern w:val="0"/>
                <w:sz w:val="16"/>
                <w:szCs w:val="16"/>
                <w:lang w:val="hy-AM"/>
                <w14:ligatures w14:val="none"/>
              </w:rPr>
            </w:pPr>
          </w:p>
          <w:p w14:paraId="65A676F6" w14:textId="77777777" w:rsidR="00F60511" w:rsidRPr="00F60511" w:rsidRDefault="00F60511" w:rsidP="0030458B">
            <w:pPr>
              <w:spacing w:after="0" w:line="240" w:lineRule="auto"/>
              <w:jc w:val="center"/>
              <w:rPr>
                <w:rFonts w:ascii="GHEA Grapalat" w:eastAsia="Times New Roman" w:hAnsi="GHEA Grapalat" w:cs="Calibri"/>
                <w:kern w:val="0"/>
                <w:sz w:val="16"/>
                <w:szCs w:val="16"/>
                <w:lang w:val="hy-AM"/>
                <w14:ligatures w14:val="none"/>
              </w:rPr>
            </w:pPr>
          </w:p>
          <w:p w14:paraId="5A3C9B26" w14:textId="77777777" w:rsidR="00781AAF" w:rsidRPr="00F60511" w:rsidRDefault="00781AAF" w:rsidP="0030458B">
            <w:pPr>
              <w:spacing w:after="0" w:line="240" w:lineRule="auto"/>
              <w:jc w:val="center"/>
              <w:rPr>
                <w:rFonts w:ascii="GHEA Grapalat" w:eastAsia="Times New Roman" w:hAnsi="GHEA Grapalat" w:cs="Calibri"/>
                <w:kern w:val="0"/>
                <w:sz w:val="6"/>
                <w:szCs w:val="6"/>
                <w:lang w:val="hy-AM"/>
                <w14:ligatures w14:val="none"/>
              </w:rPr>
            </w:pPr>
          </w:p>
          <w:p w14:paraId="6EF038F4" w14:textId="77777777" w:rsidR="00781AAF" w:rsidRPr="00F60511" w:rsidRDefault="00781AAF" w:rsidP="0030458B">
            <w:pPr>
              <w:spacing w:after="0" w:line="240" w:lineRule="auto"/>
              <w:jc w:val="center"/>
              <w:rPr>
                <w:rFonts w:ascii="GHEA Grapalat" w:eastAsia="Times New Roman" w:hAnsi="GHEA Grapalat" w:cs="Calibri"/>
                <w:kern w:val="0"/>
                <w:sz w:val="16"/>
                <w:szCs w:val="16"/>
                <w:lang w:val="hy-AM"/>
                <w14:ligatures w14:val="none"/>
              </w:rPr>
            </w:pPr>
          </w:p>
          <w:p w14:paraId="4FA1DF76" w14:textId="069D0895"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19 606 125</w:t>
            </w:r>
          </w:p>
        </w:tc>
        <w:tc>
          <w:tcPr>
            <w:tcW w:w="1280" w:type="dxa"/>
            <w:vAlign w:val="center"/>
            <w:hideMark/>
          </w:tcPr>
          <w:p w14:paraId="3027C52B" w14:textId="63EA0D35" w:rsidR="00725016" w:rsidRPr="002D525D" w:rsidRDefault="009E5419" w:rsidP="0030458B">
            <w:pPr>
              <w:spacing w:after="0" w:line="240" w:lineRule="auto"/>
              <w:jc w:val="center"/>
              <w:rPr>
                <w:rFonts w:ascii="GHEA Grapalat" w:eastAsia="Times New Roman" w:hAnsi="GHEA Grapalat" w:cs="Calibri"/>
                <w:b/>
                <w:bCs/>
                <w:kern w:val="0"/>
                <w:sz w:val="16"/>
                <w:szCs w:val="16"/>
                <w:lang w:val="hy-AM"/>
                <w14:ligatures w14:val="none"/>
              </w:rPr>
            </w:pPr>
            <w:r w:rsidRPr="009E5419">
              <w:rPr>
                <w:rFonts w:ascii="GHEA Grapalat" w:eastAsia="Times New Roman" w:hAnsi="GHEA Grapalat" w:cs="Calibri"/>
                <w:b/>
                <w:bCs/>
                <w:kern w:val="0"/>
                <w:sz w:val="16"/>
                <w:szCs w:val="16"/>
                <w:lang w:val="hy-AM"/>
                <w14:ligatures w14:val="none"/>
              </w:rPr>
              <w:t>133 350 000</w:t>
            </w:r>
          </w:p>
        </w:tc>
        <w:tc>
          <w:tcPr>
            <w:tcW w:w="1259" w:type="dxa"/>
            <w:vAlign w:val="center"/>
            <w:hideMark/>
          </w:tcPr>
          <w:p w14:paraId="00C3D173" w14:textId="0236A557" w:rsidR="00725016" w:rsidRPr="002D525D" w:rsidRDefault="009E5419" w:rsidP="0030458B">
            <w:pPr>
              <w:spacing w:after="0" w:line="240" w:lineRule="auto"/>
              <w:jc w:val="center"/>
              <w:rPr>
                <w:rFonts w:ascii="GHEA Grapalat" w:eastAsia="Times New Roman" w:hAnsi="GHEA Grapalat" w:cs="Calibri"/>
                <w:b/>
                <w:bCs/>
                <w:kern w:val="0"/>
                <w:sz w:val="16"/>
                <w:szCs w:val="16"/>
                <w:lang w:val="hy-AM"/>
                <w14:ligatures w14:val="none"/>
              </w:rPr>
            </w:pPr>
            <w:r w:rsidRPr="009E5419">
              <w:rPr>
                <w:rFonts w:ascii="GHEA Grapalat" w:eastAsia="Times New Roman" w:hAnsi="GHEA Grapalat" w:cs="Calibri"/>
                <w:b/>
                <w:bCs/>
                <w:kern w:val="0"/>
                <w:sz w:val="16"/>
                <w:szCs w:val="16"/>
                <w:lang w:val="hy-AM"/>
                <w14:ligatures w14:val="none"/>
              </w:rPr>
              <w:t>13</w:t>
            </w:r>
            <w:r>
              <w:rPr>
                <w:rFonts w:ascii="Calibri" w:eastAsia="Times New Roman" w:hAnsi="Calibri" w:cs="Calibri"/>
                <w:b/>
                <w:bCs/>
                <w:kern w:val="0"/>
                <w:sz w:val="16"/>
                <w:szCs w:val="16"/>
                <w:lang w:val="hy-AM"/>
                <w14:ligatures w14:val="none"/>
              </w:rPr>
              <w:t> </w:t>
            </w:r>
            <w:r w:rsidRPr="009E5419">
              <w:rPr>
                <w:rFonts w:ascii="GHEA Grapalat" w:eastAsia="Times New Roman" w:hAnsi="GHEA Grapalat" w:cs="Calibri"/>
                <w:b/>
                <w:bCs/>
                <w:kern w:val="0"/>
                <w:sz w:val="16"/>
                <w:szCs w:val="16"/>
                <w:lang w:val="hy-AM"/>
                <w14:ligatures w14:val="none"/>
              </w:rPr>
              <w:t>335</w:t>
            </w:r>
            <w:r>
              <w:rPr>
                <w:rFonts w:ascii="GHEA Grapalat" w:eastAsia="Times New Roman" w:hAnsi="GHEA Grapalat" w:cs="Calibri"/>
                <w:b/>
                <w:bCs/>
                <w:kern w:val="0"/>
                <w:sz w:val="16"/>
                <w:szCs w:val="16"/>
                <w:lang w:val="hy-AM"/>
                <w14:ligatures w14:val="none"/>
              </w:rPr>
              <w:t xml:space="preserve"> </w:t>
            </w:r>
            <w:r w:rsidRPr="009E5419">
              <w:rPr>
                <w:rFonts w:ascii="GHEA Grapalat" w:eastAsia="Times New Roman" w:hAnsi="GHEA Grapalat" w:cs="Calibri"/>
                <w:b/>
                <w:bCs/>
                <w:kern w:val="0"/>
                <w:sz w:val="16"/>
                <w:szCs w:val="16"/>
                <w:lang w:val="hy-AM"/>
                <w14:ligatures w14:val="none"/>
              </w:rPr>
              <w:t>000</w:t>
            </w:r>
          </w:p>
        </w:tc>
        <w:tc>
          <w:tcPr>
            <w:tcW w:w="1192" w:type="dxa"/>
            <w:vAlign w:val="center"/>
          </w:tcPr>
          <w:p w14:paraId="4DA2EDB7" w14:textId="73C3644B" w:rsidR="00725016" w:rsidRPr="002D525D" w:rsidRDefault="009E5419" w:rsidP="0030458B">
            <w:pPr>
              <w:spacing w:after="0" w:line="240" w:lineRule="auto"/>
              <w:jc w:val="center"/>
              <w:rPr>
                <w:rFonts w:ascii="GHEA Grapalat" w:eastAsia="Times New Roman" w:hAnsi="GHEA Grapalat" w:cs="Calibri"/>
                <w:b/>
                <w:bCs/>
                <w:kern w:val="0"/>
                <w:sz w:val="16"/>
                <w:szCs w:val="16"/>
                <w:lang w:val="hy-AM"/>
                <w14:ligatures w14:val="none"/>
              </w:rPr>
            </w:pPr>
            <w:r w:rsidRPr="009E5419">
              <w:rPr>
                <w:rFonts w:ascii="GHEA Grapalat" w:eastAsia="Times New Roman" w:hAnsi="GHEA Grapalat" w:cs="Calibri"/>
                <w:b/>
                <w:bCs/>
                <w:kern w:val="0"/>
                <w:sz w:val="16"/>
                <w:szCs w:val="16"/>
                <w:lang w:val="hy-AM"/>
                <w14:ligatures w14:val="none"/>
              </w:rPr>
              <w:t>1</w:t>
            </w:r>
            <w:r>
              <w:rPr>
                <w:rFonts w:ascii="Calibri" w:eastAsia="Times New Roman" w:hAnsi="Calibri" w:cs="Calibri"/>
                <w:b/>
                <w:bCs/>
                <w:kern w:val="0"/>
                <w:sz w:val="16"/>
                <w:szCs w:val="16"/>
                <w:lang w:val="hy-AM"/>
                <w14:ligatures w14:val="none"/>
              </w:rPr>
              <w:t> </w:t>
            </w:r>
            <w:r w:rsidRPr="009E5419">
              <w:rPr>
                <w:rFonts w:ascii="GHEA Grapalat" w:eastAsia="Times New Roman" w:hAnsi="GHEA Grapalat" w:cs="Calibri"/>
                <w:b/>
                <w:bCs/>
                <w:kern w:val="0"/>
                <w:sz w:val="16"/>
                <w:szCs w:val="16"/>
                <w:lang w:val="hy-AM"/>
                <w14:ligatures w14:val="none"/>
              </w:rPr>
              <w:t>333</w:t>
            </w:r>
            <w:r>
              <w:rPr>
                <w:rFonts w:ascii="GHEA Grapalat" w:eastAsia="Times New Roman" w:hAnsi="GHEA Grapalat" w:cs="Calibri"/>
                <w:b/>
                <w:bCs/>
                <w:kern w:val="0"/>
                <w:sz w:val="16"/>
                <w:szCs w:val="16"/>
                <w:lang w:val="hy-AM"/>
                <w14:ligatures w14:val="none"/>
              </w:rPr>
              <w:t xml:space="preserve"> </w:t>
            </w:r>
            <w:r w:rsidRPr="009E5419">
              <w:rPr>
                <w:rFonts w:ascii="GHEA Grapalat" w:eastAsia="Times New Roman" w:hAnsi="GHEA Grapalat" w:cs="Calibri"/>
                <w:b/>
                <w:bCs/>
                <w:kern w:val="0"/>
                <w:sz w:val="16"/>
                <w:szCs w:val="16"/>
                <w:lang w:val="hy-AM"/>
                <w14:ligatures w14:val="none"/>
              </w:rPr>
              <w:t>500</w:t>
            </w:r>
          </w:p>
        </w:tc>
        <w:tc>
          <w:tcPr>
            <w:tcW w:w="1442" w:type="dxa"/>
            <w:vAlign w:val="center"/>
            <w:hideMark/>
          </w:tcPr>
          <w:p w14:paraId="7346DF8C" w14:textId="080EF7DB" w:rsidR="00725016" w:rsidRPr="002D525D" w:rsidRDefault="00725016" w:rsidP="0030458B">
            <w:pPr>
              <w:spacing w:after="0" w:line="240" w:lineRule="auto"/>
              <w:jc w:val="center"/>
              <w:rPr>
                <w:rFonts w:ascii="GHEA Grapalat" w:eastAsia="Times New Roman" w:hAnsi="GHEA Grapalat" w:cs="Calibri"/>
                <w:b/>
                <w:bCs/>
                <w:i/>
                <w:iCs/>
                <w:kern w:val="0"/>
                <w:sz w:val="16"/>
                <w:szCs w:val="16"/>
                <w:lang w:val="hy-AM"/>
                <w14:ligatures w14:val="none"/>
              </w:rPr>
            </w:pPr>
            <w:r w:rsidRPr="002D525D">
              <w:rPr>
                <w:rFonts w:ascii="GHEA Grapalat" w:eastAsia="Times New Roman" w:hAnsi="GHEA Grapalat" w:cs="Calibri"/>
                <w:b/>
                <w:bCs/>
                <w:kern w:val="0"/>
                <w:sz w:val="16"/>
                <w:szCs w:val="16"/>
                <w:lang w:val="hy-AM"/>
                <w14:ligatures w14:val="none"/>
              </w:rPr>
              <w:t>908 920,80</w:t>
            </w:r>
          </w:p>
        </w:tc>
      </w:tr>
      <w:tr w:rsidR="00B62B22" w:rsidRPr="00F60511" w14:paraId="1B0DC5E1" w14:textId="77777777" w:rsidTr="00725016">
        <w:trPr>
          <w:trHeight w:val="825"/>
          <w:jc w:val="center"/>
        </w:trPr>
        <w:tc>
          <w:tcPr>
            <w:tcW w:w="15163" w:type="dxa"/>
            <w:gridSpan w:val="12"/>
          </w:tcPr>
          <w:p w14:paraId="44EA7D9F" w14:textId="77777777" w:rsidR="00B62B22" w:rsidRPr="00F60511" w:rsidRDefault="00B62B22" w:rsidP="006453A4">
            <w:pPr>
              <w:jc w:val="center"/>
              <w:rPr>
                <w:rFonts w:ascii="GHEA Grapalat" w:eastAsia="Times New Roman" w:hAnsi="GHEA Grapalat" w:cs="Calibri"/>
                <w:kern w:val="0"/>
                <w:sz w:val="16"/>
                <w:szCs w:val="16"/>
                <w:lang w:val="hy-AM"/>
                <w14:ligatures w14:val="none"/>
              </w:rPr>
            </w:pPr>
          </w:p>
          <w:p w14:paraId="36ACB7A3" w14:textId="71DC3DE1" w:rsidR="00B62B22" w:rsidRPr="00F60511" w:rsidRDefault="000C094C" w:rsidP="000C094C">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Լոտի բ</w:t>
            </w:r>
            <w:r w:rsidR="00B62B22" w:rsidRPr="00F60511">
              <w:rPr>
                <w:rFonts w:ascii="GHEA Grapalat" w:eastAsia="Times New Roman" w:hAnsi="GHEA Grapalat" w:cs="Calibri"/>
                <w:kern w:val="0"/>
                <w:sz w:val="16"/>
                <w:szCs w:val="16"/>
                <w:lang w:val="hy-AM"/>
                <w14:ligatures w14:val="none"/>
              </w:rPr>
              <w:t>նութագիր՝ կոմունիկացիաների առկայություն և հասանելիություն- հասանելի է էլ</w:t>
            </w:r>
            <w:r w:rsidR="00B62B22" w:rsidRPr="00F60511">
              <w:rPr>
                <w:rFonts w:ascii="Cambria Math" w:eastAsia="Times New Roman" w:hAnsi="Cambria Math" w:cs="Cambria Math"/>
                <w:kern w:val="0"/>
                <w:sz w:val="16"/>
                <w:szCs w:val="16"/>
                <w:lang w:val="hy-AM"/>
                <w14:ligatures w14:val="none"/>
              </w:rPr>
              <w:t>․</w:t>
            </w:r>
            <w:r w:rsidR="00B62B22" w:rsidRPr="00F60511">
              <w:rPr>
                <w:rFonts w:ascii="GHEA Grapalat" w:eastAsia="Times New Roman" w:hAnsi="GHEA Grapalat" w:cs="Calibri"/>
                <w:kern w:val="0"/>
                <w:sz w:val="16"/>
                <w:szCs w:val="16"/>
                <w:lang w:val="hy-AM"/>
                <w14:ligatures w14:val="none"/>
              </w:rPr>
              <w:t xml:space="preserve"> էներգիա, ջուր, կոյուղի։ Տրանսպորտային մատչելիությունը՝ լավ։ Տանիքը՝ հարթ, դռները՝ փայտե, հատակը՝ բետոն։</w:t>
            </w:r>
          </w:p>
        </w:tc>
      </w:tr>
    </w:tbl>
    <w:p w14:paraId="4B554B0C" w14:textId="1D7645C8" w:rsidR="00D375CC" w:rsidRDefault="00D375CC" w:rsidP="00316584">
      <w:pPr>
        <w:jc w:val="both"/>
        <w:rPr>
          <w:rFonts w:ascii="GHEA Grapalat" w:hAnsi="GHEA Grapalat"/>
        </w:rPr>
      </w:pPr>
    </w:p>
    <w:p w14:paraId="5D5FBEA1" w14:textId="3D211070" w:rsidR="00A170D0" w:rsidRDefault="00A170D0" w:rsidP="00316584">
      <w:pPr>
        <w:jc w:val="both"/>
        <w:rPr>
          <w:rFonts w:ascii="GHEA Grapalat" w:hAnsi="GHEA Grapalat"/>
        </w:rPr>
      </w:pPr>
    </w:p>
    <w:p w14:paraId="38806C62" w14:textId="31CAC152" w:rsidR="00A170D0" w:rsidRDefault="00A170D0" w:rsidP="00316584">
      <w:pPr>
        <w:jc w:val="both"/>
        <w:rPr>
          <w:rFonts w:ascii="GHEA Grapalat" w:hAnsi="GHEA Grapalat"/>
        </w:rPr>
      </w:pPr>
    </w:p>
    <w:p w14:paraId="4A6738D6" w14:textId="77777777" w:rsidR="00A170D0" w:rsidRPr="005F628B" w:rsidRDefault="00A170D0" w:rsidP="00316584">
      <w:pPr>
        <w:jc w:val="both"/>
        <w:rPr>
          <w:rFonts w:ascii="GHEA Grapalat" w:hAnsi="GHEA Grapalat"/>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947BE"/>
    <w:rsid w:val="000A1591"/>
    <w:rsid w:val="000C094C"/>
    <w:rsid w:val="000D13EA"/>
    <w:rsid w:val="000F4136"/>
    <w:rsid w:val="00173AF7"/>
    <w:rsid w:val="001A0F55"/>
    <w:rsid w:val="001B2C43"/>
    <w:rsid w:val="001D0AAD"/>
    <w:rsid w:val="001E457D"/>
    <w:rsid w:val="001F62C0"/>
    <w:rsid w:val="002B5C27"/>
    <w:rsid w:val="002D2588"/>
    <w:rsid w:val="002D525D"/>
    <w:rsid w:val="002F100A"/>
    <w:rsid w:val="002F76E3"/>
    <w:rsid w:val="0030458B"/>
    <w:rsid w:val="0031303C"/>
    <w:rsid w:val="00316584"/>
    <w:rsid w:val="00336464"/>
    <w:rsid w:val="003468F8"/>
    <w:rsid w:val="0037386F"/>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E02"/>
    <w:rsid w:val="009A36C0"/>
    <w:rsid w:val="009E5419"/>
    <w:rsid w:val="00A10C7A"/>
    <w:rsid w:val="00A170D0"/>
    <w:rsid w:val="00A53AF7"/>
    <w:rsid w:val="00AA133E"/>
    <w:rsid w:val="00AB4000"/>
    <w:rsid w:val="00B238A7"/>
    <w:rsid w:val="00B42775"/>
    <w:rsid w:val="00B62B22"/>
    <w:rsid w:val="00B71100"/>
    <w:rsid w:val="00B7414D"/>
    <w:rsid w:val="00B81FAC"/>
    <w:rsid w:val="00B846C0"/>
    <w:rsid w:val="00B874A9"/>
    <w:rsid w:val="00B950CB"/>
    <w:rsid w:val="00BA5EC5"/>
    <w:rsid w:val="00BC1C82"/>
    <w:rsid w:val="00BF0B4B"/>
    <w:rsid w:val="00BF3589"/>
    <w:rsid w:val="00C473D6"/>
    <w:rsid w:val="00CC3045"/>
    <w:rsid w:val="00CD2678"/>
    <w:rsid w:val="00D1068A"/>
    <w:rsid w:val="00D21CA6"/>
    <w:rsid w:val="00D22F92"/>
    <w:rsid w:val="00D375CC"/>
    <w:rsid w:val="00D56344"/>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1615</Words>
  <Characters>9206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https://mul2-spm.gov.am/tasks/561179/oneclick?token=69c8a723639d22b4fc9678c32aab169a</cp:keywords>
  <dc:description/>
  <cp:lastModifiedBy>HP</cp:lastModifiedBy>
  <cp:revision>43</cp:revision>
  <dcterms:created xsi:type="dcterms:W3CDTF">2026-05-15T12:22:00Z</dcterms:created>
  <dcterms:modified xsi:type="dcterms:W3CDTF">2026-07-11T14:08:00Z</dcterms:modified>
</cp:coreProperties>
</file>